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7F09FA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4171C8">
            <w:t>PGE3PHVC160</w:t>
          </w:r>
        </w:sdtContent>
      </w:sdt>
    </w:p>
    <w:bookmarkEnd w:id="0"/>
    <w:p w14:paraId="7601CE2F" w14:textId="3634F2B3" w:rsidR="00DA690B" w:rsidRPr="00500C4E" w:rsidRDefault="00A05CCB"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0C17C6">
            <w:rPr>
              <w:rStyle w:val="CaptionChar"/>
              <w:rFonts w:asciiTheme="minorHAnsi" w:hAnsiTheme="minorHAnsi" w:cstheme="minorHAnsi"/>
              <w:b/>
              <w:bCs w:val="0"/>
              <w:sz w:val="48"/>
              <w:szCs w:val="48"/>
            </w:rPr>
            <w:t>1</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A05CCB"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701B9A9B" w:rsidR="00DA690B" w:rsidRPr="00500C4E" w:rsidRDefault="004171C8" w:rsidP="00DA690B">
      <w:pPr>
        <w:rPr>
          <w:rFonts w:cstheme="minorHAnsi"/>
          <w:b/>
          <w:sz w:val="72"/>
          <w:szCs w:val="72"/>
        </w:rPr>
      </w:pPr>
      <w:r>
        <w:rPr>
          <w:rFonts w:cstheme="minorHAnsi"/>
          <w:b/>
          <w:sz w:val="72"/>
          <w:szCs w:val="72"/>
        </w:rPr>
        <w:t>Refrigerant Charge Adjustment (RCA)</w:t>
      </w:r>
    </w:p>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7D576791" w14:textId="3B3E5E0B" w:rsidR="004171C8" w:rsidRPr="009D1192" w:rsidRDefault="004171C8" w:rsidP="004171C8">
      <w:pPr>
        <w:pStyle w:val="Reminders"/>
        <w:rPr>
          <w:rFonts w:asciiTheme="minorHAnsi" w:hAnsiTheme="minorHAnsi" w:cstheme="minorHAnsi"/>
          <w:i w:val="0"/>
          <w:color w:val="auto"/>
          <w:sz w:val="24"/>
          <w:szCs w:val="22"/>
        </w:rPr>
      </w:pPr>
      <w:r w:rsidRPr="009D1192">
        <w:rPr>
          <w:rFonts w:asciiTheme="minorHAnsi" w:hAnsiTheme="minorHAnsi" w:cstheme="minorHAnsi"/>
          <w:i w:val="0"/>
          <w:color w:val="auto"/>
          <w:sz w:val="24"/>
          <w:szCs w:val="22"/>
        </w:rPr>
        <w:t xml:space="preserve">This short form workpaper documents (WP) the values adopted from PGE’s WP entitled “Refrigerant Charge Adjustment” (PGE3PHVC160_R3). SCE adopts all the values in PGE3PHVC160_R3 – Refrigerant Charge Adjustment, with the following exceptions. </w:t>
      </w:r>
    </w:p>
    <w:p w14:paraId="78940EFD" w14:textId="77777777" w:rsidR="00F30167" w:rsidRPr="009D1192" w:rsidRDefault="00F30167" w:rsidP="00F30167">
      <w:pPr>
        <w:pStyle w:val="Reminders"/>
        <w:rPr>
          <w:rFonts w:asciiTheme="minorHAnsi" w:hAnsiTheme="minorHAnsi" w:cstheme="minorHAnsi"/>
          <w:i w:val="0"/>
          <w:color w:val="auto"/>
          <w:sz w:val="24"/>
          <w:szCs w:val="22"/>
        </w:rPr>
      </w:pPr>
    </w:p>
    <w:p w14:paraId="3F3B1ED3" w14:textId="5A1A66F5" w:rsidR="009D1192" w:rsidRDefault="009D1192" w:rsidP="004171C8">
      <w:pPr>
        <w:pStyle w:val="Reminders"/>
        <w:numPr>
          <w:ilvl w:val="0"/>
          <w:numId w:val="37"/>
        </w:numPr>
        <w:rPr>
          <w:rFonts w:asciiTheme="minorHAnsi" w:hAnsiTheme="minorHAnsi" w:cstheme="minorHAnsi"/>
          <w:i w:val="0"/>
          <w:color w:val="auto"/>
          <w:sz w:val="24"/>
          <w:szCs w:val="22"/>
        </w:rPr>
      </w:pPr>
      <w:r w:rsidRPr="00F16068">
        <w:rPr>
          <w:rFonts w:asciiTheme="minorHAnsi" w:hAnsiTheme="minorHAnsi" w:cstheme="minorHAnsi"/>
          <w:i w:val="0"/>
          <w:color w:val="auto"/>
          <w:sz w:val="24"/>
        </w:rPr>
        <w:t>This Workpaper Short Form is applicable for SCE’s 2018 program Cycle</w:t>
      </w:r>
    </w:p>
    <w:p w14:paraId="31E1C49E" w14:textId="77777777" w:rsidR="004171C8" w:rsidRPr="009D1192" w:rsidRDefault="004171C8" w:rsidP="004171C8">
      <w:pPr>
        <w:pStyle w:val="Reminders"/>
        <w:numPr>
          <w:ilvl w:val="0"/>
          <w:numId w:val="37"/>
        </w:numPr>
        <w:rPr>
          <w:rFonts w:asciiTheme="minorHAnsi" w:hAnsiTheme="minorHAnsi" w:cstheme="minorHAnsi"/>
          <w:i w:val="0"/>
          <w:color w:val="auto"/>
          <w:sz w:val="24"/>
          <w:szCs w:val="22"/>
        </w:rPr>
      </w:pPr>
      <w:r w:rsidRPr="009D1192">
        <w:rPr>
          <w:rFonts w:asciiTheme="minorHAnsi" w:hAnsiTheme="minorHAnsi" w:cstheme="minorHAnsi"/>
          <w:i w:val="0"/>
          <w:color w:val="auto"/>
          <w:sz w:val="24"/>
          <w:szCs w:val="22"/>
        </w:rPr>
        <w:t>Changed applicable climate zones to only SCE climate zones.</w:t>
      </w:r>
    </w:p>
    <w:p w14:paraId="4D314772" w14:textId="77777777" w:rsidR="007162F6" w:rsidRPr="00AB23C7" w:rsidRDefault="007162F6" w:rsidP="007162F6">
      <w:pPr>
        <w:pStyle w:val="Reminders"/>
        <w:numPr>
          <w:ilvl w:val="0"/>
          <w:numId w:val="37"/>
        </w:numPr>
        <w:rPr>
          <w:rFonts w:asciiTheme="minorHAnsi" w:hAnsiTheme="minorHAnsi" w:cstheme="minorHAnsi"/>
          <w:i w:val="0"/>
          <w:color w:val="auto"/>
          <w:sz w:val="24"/>
        </w:rPr>
      </w:pPr>
      <w:r w:rsidRPr="00F16068">
        <w:rPr>
          <w:rFonts w:asciiTheme="minorHAnsi" w:hAnsiTheme="minorHAnsi" w:cstheme="minorHAnsi"/>
          <w:i w:val="0"/>
          <w:color w:val="auto"/>
          <w:sz w:val="24"/>
        </w:rPr>
        <w:t>Added Up-Stream Program</w:t>
      </w:r>
      <w:r>
        <w:rPr>
          <w:rFonts w:asciiTheme="minorHAnsi" w:hAnsiTheme="minorHAnsi" w:cstheme="minorHAnsi"/>
          <w:i w:val="0"/>
          <w:color w:val="auto"/>
          <w:sz w:val="24"/>
        </w:rPr>
        <w:t>s: Up-Stream delivery mechanism, Financial Support: Down-Stream Incentive – Deemed, and Financial Support: Direct Install.</w:t>
      </w:r>
    </w:p>
    <w:p w14:paraId="3F334B67" w14:textId="60652E19" w:rsidR="0039719F" w:rsidRPr="009D1192" w:rsidRDefault="0039719F" w:rsidP="0039719F">
      <w:pPr>
        <w:pStyle w:val="Reminders"/>
        <w:numPr>
          <w:ilvl w:val="0"/>
          <w:numId w:val="37"/>
        </w:numPr>
        <w:rPr>
          <w:rFonts w:asciiTheme="minorHAnsi" w:hAnsiTheme="minorHAnsi" w:cstheme="minorHAnsi"/>
          <w:i w:val="0"/>
          <w:color w:val="auto"/>
          <w:sz w:val="24"/>
          <w:szCs w:val="22"/>
        </w:rPr>
      </w:pPr>
      <w:r w:rsidRPr="009D1192">
        <w:rPr>
          <w:rFonts w:asciiTheme="minorHAnsi" w:hAnsiTheme="minorHAnsi" w:cstheme="minorHAnsi"/>
          <w:i w:val="0"/>
          <w:color w:val="auto"/>
          <w:sz w:val="24"/>
          <w:szCs w:val="22"/>
        </w:rPr>
        <w:t>Added Agric-Default&gt;2yrs and Ind-Default&gt;2yrs NTG IDs for manufacturing building types.</w:t>
      </w:r>
    </w:p>
    <w:p w14:paraId="1E5EE0AE" w14:textId="77777777" w:rsidR="00900C7C" w:rsidRPr="009D1192" w:rsidRDefault="00900C7C" w:rsidP="00900C7C">
      <w:pPr>
        <w:pStyle w:val="Reminders"/>
        <w:numPr>
          <w:ilvl w:val="0"/>
          <w:numId w:val="37"/>
        </w:numPr>
        <w:rPr>
          <w:rFonts w:asciiTheme="minorHAnsi" w:hAnsiTheme="minorHAnsi" w:cstheme="minorHAnsi"/>
          <w:i w:val="0"/>
          <w:color w:val="auto"/>
          <w:sz w:val="24"/>
          <w:szCs w:val="22"/>
        </w:rPr>
      </w:pPr>
      <w:r w:rsidRPr="009D1192">
        <w:rPr>
          <w:rFonts w:asciiTheme="minorHAnsi" w:hAnsiTheme="minorHAnsi" w:cstheme="minorHAnsi"/>
          <w:i w:val="0"/>
          <w:color w:val="auto"/>
          <w:sz w:val="24"/>
          <w:szCs w:val="22"/>
        </w:rPr>
        <w:t>Added clarification on SCE’s incentive method description and applicability.</w:t>
      </w:r>
    </w:p>
    <w:p w14:paraId="69C20D1F" w14:textId="77777777" w:rsidR="00900C7C" w:rsidRPr="009D1192" w:rsidRDefault="00900C7C" w:rsidP="00900C7C">
      <w:pPr>
        <w:pStyle w:val="Reminders"/>
        <w:numPr>
          <w:ilvl w:val="0"/>
          <w:numId w:val="37"/>
        </w:numPr>
        <w:rPr>
          <w:rFonts w:asciiTheme="minorHAnsi" w:hAnsiTheme="minorHAnsi" w:cstheme="minorHAnsi"/>
          <w:i w:val="0"/>
          <w:color w:val="auto"/>
          <w:sz w:val="24"/>
          <w:szCs w:val="22"/>
        </w:rPr>
      </w:pPr>
      <w:r w:rsidRPr="009D1192">
        <w:rPr>
          <w:rFonts w:asciiTheme="minorHAnsi" w:hAnsiTheme="minorHAnsi" w:cstheme="minorHAnsi"/>
          <w:i w:val="0"/>
          <w:color w:val="auto"/>
          <w:sz w:val="24"/>
          <w:szCs w:val="22"/>
        </w:rPr>
        <w:t>For the 2018 program year, the measure application type remains as “REA.”</w:t>
      </w:r>
    </w:p>
    <w:p w14:paraId="5C0075B5" w14:textId="77777777" w:rsidR="00900C7C" w:rsidRPr="004171C8" w:rsidRDefault="00900C7C" w:rsidP="00900C7C">
      <w:pPr>
        <w:pStyle w:val="Reminders"/>
        <w:ind w:left="720"/>
        <w:rPr>
          <w:rFonts w:asciiTheme="minorHAnsi" w:hAnsiTheme="minorHAnsi" w:cstheme="minorHAnsi"/>
          <w:i w:val="0"/>
          <w:color w:val="auto"/>
          <w:sz w:val="28"/>
          <w:szCs w:val="22"/>
        </w:rPr>
      </w:pP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60"/>
        <w:gridCol w:w="6384"/>
      </w:tblGrid>
      <w:tr w:rsidR="003845E5" w:rsidRPr="00500C4E" w14:paraId="5AFD7FBC" w14:textId="77777777" w:rsidTr="004171C8">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67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14"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4171C8" w:rsidRPr="00500C4E" w14:paraId="0F8D645E" w14:textId="77777777" w:rsidTr="004171C8">
        <w:trPr>
          <w:trHeight w:val="20"/>
        </w:trPr>
        <w:tc>
          <w:tcPr>
            <w:tcW w:w="280" w:type="pct"/>
          </w:tcPr>
          <w:p w14:paraId="4A1A2996" w14:textId="4285AFA4" w:rsidR="004171C8" w:rsidRPr="00920905" w:rsidRDefault="004171C8" w:rsidP="004171C8">
            <w:pPr>
              <w:rPr>
                <w:rFonts w:cstheme="minorHAnsi"/>
                <w:color w:val="FF0000"/>
                <w:szCs w:val="20"/>
              </w:rPr>
            </w:pPr>
            <w:r>
              <w:rPr>
                <w:rFonts w:cstheme="minorHAnsi"/>
                <w:szCs w:val="20"/>
              </w:rPr>
              <w:t>1</w:t>
            </w:r>
          </w:p>
        </w:tc>
        <w:tc>
          <w:tcPr>
            <w:tcW w:w="632" w:type="pct"/>
          </w:tcPr>
          <w:p w14:paraId="68BA349C" w14:textId="4E3B5ED6" w:rsidR="004171C8" w:rsidRPr="00920905" w:rsidRDefault="00900C7C" w:rsidP="004171C8">
            <w:pPr>
              <w:rPr>
                <w:rFonts w:cstheme="minorHAnsi"/>
                <w:color w:val="FF0000"/>
                <w:szCs w:val="20"/>
              </w:rPr>
            </w:pPr>
            <w:r>
              <w:rPr>
                <w:rFonts w:cstheme="minorHAnsi"/>
                <w:szCs w:val="20"/>
              </w:rPr>
              <w:t>12/27</w:t>
            </w:r>
            <w:r w:rsidR="004171C8">
              <w:rPr>
                <w:rFonts w:cstheme="minorHAnsi"/>
                <w:szCs w:val="20"/>
              </w:rPr>
              <w:t>/2018</w:t>
            </w:r>
          </w:p>
        </w:tc>
        <w:tc>
          <w:tcPr>
            <w:tcW w:w="674" w:type="pct"/>
          </w:tcPr>
          <w:p w14:paraId="4A812BB3" w14:textId="01131CD2" w:rsidR="004171C8" w:rsidRPr="00920905" w:rsidRDefault="004171C8" w:rsidP="004171C8">
            <w:pPr>
              <w:rPr>
                <w:rFonts w:cstheme="minorHAnsi"/>
                <w:color w:val="FF0000"/>
                <w:szCs w:val="20"/>
              </w:rPr>
            </w:pPr>
            <w:r>
              <w:rPr>
                <w:rFonts w:cstheme="minorHAnsi"/>
                <w:szCs w:val="20"/>
              </w:rPr>
              <w:t>Stephen Brett Reno, TRC</w:t>
            </w:r>
          </w:p>
        </w:tc>
        <w:tc>
          <w:tcPr>
            <w:tcW w:w="3414" w:type="pct"/>
          </w:tcPr>
          <w:p w14:paraId="554542DC" w14:textId="77777777" w:rsidR="004171C8" w:rsidRDefault="004171C8" w:rsidP="004171C8">
            <w:pPr>
              <w:pStyle w:val="ListParagraph"/>
              <w:numPr>
                <w:ilvl w:val="0"/>
                <w:numId w:val="35"/>
              </w:numPr>
              <w:rPr>
                <w:rFonts w:cstheme="minorHAnsi"/>
                <w:bCs/>
                <w:szCs w:val="20"/>
              </w:rPr>
            </w:pPr>
            <w:r>
              <w:rPr>
                <w:rFonts w:cstheme="minorHAnsi"/>
                <w:bCs/>
                <w:szCs w:val="20"/>
              </w:rPr>
              <w:t xml:space="preserve">Transferred savings to calculation templates the 2018 program year. </w:t>
            </w:r>
          </w:p>
          <w:p w14:paraId="5D22CFF5" w14:textId="77777777" w:rsidR="004171C8" w:rsidRDefault="004171C8" w:rsidP="004171C8">
            <w:pPr>
              <w:pStyle w:val="ListParagraph"/>
              <w:numPr>
                <w:ilvl w:val="0"/>
                <w:numId w:val="35"/>
              </w:numPr>
              <w:rPr>
                <w:rFonts w:cstheme="minorHAnsi"/>
                <w:bCs/>
                <w:szCs w:val="20"/>
              </w:rPr>
            </w:pPr>
            <w:r>
              <w:rPr>
                <w:rFonts w:cstheme="minorHAnsi"/>
                <w:bCs/>
                <w:szCs w:val="20"/>
              </w:rPr>
              <w:t>Changed applicable climate zones to only SCE climate zones.</w:t>
            </w:r>
          </w:p>
          <w:p w14:paraId="5E32AE46" w14:textId="77777777" w:rsidR="007162F6" w:rsidRPr="00E303D9" w:rsidRDefault="007162F6" w:rsidP="007162F6">
            <w:pPr>
              <w:pStyle w:val="ListParagraph"/>
              <w:numPr>
                <w:ilvl w:val="0"/>
                <w:numId w:val="35"/>
              </w:numPr>
              <w:rPr>
                <w:rFonts w:cstheme="minorHAnsi"/>
                <w:bCs/>
                <w:szCs w:val="20"/>
              </w:rPr>
            </w:pPr>
            <w:r>
              <w:rPr>
                <w:rFonts w:cstheme="minorHAnsi"/>
                <w:bCs/>
                <w:szCs w:val="20"/>
              </w:rPr>
              <w:t xml:space="preserve">Added Up-Stream Programs: Up-Stream, </w:t>
            </w:r>
            <w:r w:rsidRPr="00A63BB1">
              <w:rPr>
                <w:rFonts w:cstheme="minorHAnsi"/>
                <w:bCs/>
                <w:szCs w:val="20"/>
              </w:rPr>
              <w:t xml:space="preserve">Financial Support: Down-Stream Incentive </w:t>
            </w:r>
            <w:r>
              <w:rPr>
                <w:rFonts w:cstheme="minorHAnsi"/>
                <w:bCs/>
                <w:szCs w:val="20"/>
              </w:rPr>
              <w:t>–</w:t>
            </w:r>
            <w:r w:rsidRPr="00A63BB1">
              <w:rPr>
                <w:rFonts w:cstheme="minorHAnsi"/>
                <w:bCs/>
                <w:szCs w:val="20"/>
              </w:rPr>
              <w:t xml:space="preserve"> Deemed</w:t>
            </w:r>
            <w:r>
              <w:rPr>
                <w:rFonts w:cstheme="minorHAnsi"/>
                <w:bCs/>
                <w:szCs w:val="20"/>
              </w:rPr>
              <w:t>, Financial Support: Direct Install delivery mechanisms.</w:t>
            </w:r>
          </w:p>
          <w:p w14:paraId="179F3644" w14:textId="77777777" w:rsidR="0039719F" w:rsidRPr="009D1192" w:rsidRDefault="0039719F" w:rsidP="0039719F">
            <w:pPr>
              <w:pStyle w:val="ListParagraph"/>
              <w:numPr>
                <w:ilvl w:val="0"/>
                <w:numId w:val="35"/>
              </w:numPr>
              <w:rPr>
                <w:rFonts w:cstheme="minorHAnsi"/>
                <w:bCs/>
                <w:szCs w:val="20"/>
              </w:rPr>
            </w:pPr>
            <w:r>
              <w:rPr>
                <w:rFonts w:cstheme="minorHAnsi"/>
                <w:bCs/>
                <w:szCs w:val="20"/>
              </w:rPr>
              <w:t xml:space="preserve">Added </w:t>
            </w:r>
            <w:r w:rsidRPr="006A38E1">
              <w:t>Agric-Default&gt;2yrs</w:t>
            </w:r>
            <w:r>
              <w:t xml:space="preserve"> and </w:t>
            </w:r>
            <w:r w:rsidRPr="006A38E1">
              <w:t>Ind-Default&gt;2yrs</w:t>
            </w:r>
            <w:r>
              <w:t xml:space="preserve"> NTG IDs.</w:t>
            </w:r>
          </w:p>
          <w:p w14:paraId="539FF036" w14:textId="77777777" w:rsidR="009D1192" w:rsidRDefault="009D1192" w:rsidP="009D1192">
            <w:pPr>
              <w:rPr>
                <w:rFonts w:cstheme="minorHAnsi"/>
                <w:bCs/>
                <w:szCs w:val="20"/>
              </w:rPr>
            </w:pPr>
          </w:p>
          <w:p w14:paraId="39CF1A6A" w14:textId="77777777" w:rsidR="009D1192" w:rsidRDefault="009D1192" w:rsidP="009D1192">
            <w:pPr>
              <w:rPr>
                <w:rFonts w:cstheme="minorHAnsi"/>
                <w:bCs/>
                <w:szCs w:val="20"/>
              </w:rPr>
            </w:pPr>
            <w:r w:rsidRPr="00F16068">
              <w:rPr>
                <w:rFonts w:cstheme="minorHAnsi"/>
                <w:bCs/>
                <w:szCs w:val="20"/>
              </w:rPr>
              <w:t>General Policy Requirements:</w:t>
            </w:r>
          </w:p>
          <w:p w14:paraId="59352355" w14:textId="77777777" w:rsidR="009D1192" w:rsidRDefault="009D1192" w:rsidP="009D1192">
            <w:pPr>
              <w:pStyle w:val="ListParagraph"/>
              <w:numPr>
                <w:ilvl w:val="0"/>
                <w:numId w:val="38"/>
              </w:numPr>
              <w:ind w:left="358"/>
              <w:rPr>
                <w:rFonts w:cstheme="minorHAnsi"/>
                <w:bCs/>
                <w:szCs w:val="20"/>
              </w:rPr>
            </w:pPr>
            <w:r>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p w14:paraId="34F0A8ED" w14:textId="55AAF776" w:rsidR="009D1192" w:rsidRPr="009D1192" w:rsidRDefault="009D1192" w:rsidP="009D1192">
            <w:pPr>
              <w:rPr>
                <w:rFonts w:cstheme="minorHAnsi"/>
                <w:bCs/>
                <w:szCs w:val="20"/>
              </w:rPr>
            </w:pP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442A68">
        <w:rPr>
          <w:noProof/>
        </w:rPr>
        <w:fldChar w:fldCharType="begin"/>
      </w:r>
      <w:r w:rsidR="00442A68">
        <w:rPr>
          <w:noProof/>
        </w:rPr>
        <w:instrText xml:space="preserve"> SEQ Table \* ARABIC </w:instrText>
      </w:r>
      <w:r w:rsidR="00442A68">
        <w:rPr>
          <w:noProof/>
        </w:rPr>
        <w:fldChar w:fldCharType="separate"/>
      </w:r>
      <w:r>
        <w:rPr>
          <w:noProof/>
        </w:rPr>
        <w:t>1</w:t>
      </w:r>
      <w:r w:rsidR="00442A68">
        <w:rPr>
          <w:noProof/>
        </w:rPr>
        <w:fldChar w:fldCharType="end"/>
      </w:r>
      <w:r>
        <w:t>: Measure Summary Table</w:t>
      </w:r>
    </w:p>
    <w:p w14:paraId="469E3748" w14:textId="77777777" w:rsidR="009A2332" w:rsidRDefault="009A2332" w:rsidP="009A2332"/>
    <w:tbl>
      <w:tblPr>
        <w:tblStyle w:val="TableGrid"/>
        <w:tblW w:w="9355" w:type="dxa"/>
        <w:tblLook w:val="04A0" w:firstRow="1" w:lastRow="0" w:firstColumn="1" w:lastColumn="0" w:noHBand="0" w:noVBand="1"/>
      </w:tblPr>
      <w:tblGrid>
        <w:gridCol w:w="2785"/>
        <w:gridCol w:w="6570"/>
      </w:tblGrid>
      <w:tr w:rsidR="009A2332" w14:paraId="3F9CA93E" w14:textId="77777777" w:rsidTr="005801A2">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70"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5801A2">
        <w:trPr>
          <w:trHeight w:val="576"/>
        </w:trPr>
        <w:tc>
          <w:tcPr>
            <w:tcW w:w="2785" w:type="dxa"/>
          </w:tcPr>
          <w:p w14:paraId="7815901A" w14:textId="49098287" w:rsidR="009A2332" w:rsidRDefault="009A2332" w:rsidP="009A2332">
            <w:r>
              <w:rPr>
                <w:rStyle w:val="Strong"/>
                <w:rFonts w:asciiTheme="minorHAnsi" w:hAnsiTheme="minorHAnsi"/>
                <w:szCs w:val="22"/>
              </w:rPr>
              <w:t>Summary &amp; Purpose</w:t>
            </w:r>
          </w:p>
        </w:tc>
        <w:tc>
          <w:tcPr>
            <w:tcW w:w="6570" w:type="dxa"/>
          </w:tcPr>
          <w:p w14:paraId="33F55C9B" w14:textId="1B3230B3" w:rsidR="004711F3" w:rsidRDefault="004711F3" w:rsidP="004711F3">
            <w:r w:rsidRPr="002C01E3">
              <w:rPr>
                <w:rFonts w:cstheme="minorHAnsi"/>
                <w:szCs w:val="22"/>
              </w:rPr>
              <w:t xml:space="preserve">This </w:t>
            </w:r>
            <w:r>
              <w:rPr>
                <w:rFonts w:cstheme="minorHAnsi"/>
                <w:szCs w:val="22"/>
              </w:rPr>
              <w:t xml:space="preserve">short form </w:t>
            </w:r>
            <w:r w:rsidRPr="002C01E3">
              <w:rPr>
                <w:rFonts w:cstheme="minorHAnsi"/>
                <w:szCs w:val="22"/>
              </w:rPr>
              <w:t xml:space="preserve">work paper </w:t>
            </w:r>
            <w:r w:rsidRPr="004711F3">
              <w:rPr>
                <w:rFonts w:cstheme="minorHAnsi"/>
                <w:szCs w:val="22"/>
              </w:rPr>
              <w:t>details refrigerant charge adjustment on existing nonresidential split-system and unitary HVAC equipment</w:t>
            </w:r>
            <w:r w:rsidRPr="005A05C3">
              <w:rPr>
                <w:rFonts w:cstheme="minorHAnsi"/>
                <w:szCs w:val="22"/>
              </w:rPr>
              <w:t>.</w:t>
            </w:r>
            <w:r>
              <w:rPr>
                <w:rFonts w:cstheme="minorHAnsi"/>
                <w:szCs w:val="22"/>
              </w:rPr>
              <w:t xml:space="preserve"> </w:t>
            </w:r>
            <w:r>
              <w:t xml:space="preserve">The savings values are based on PGE’s workpaper </w:t>
            </w:r>
            <w:r w:rsidRPr="004711F3">
              <w:t xml:space="preserve">PGE3PHVC160_R3 – </w:t>
            </w:r>
            <w:r>
              <w:t>“</w:t>
            </w:r>
            <w:r w:rsidRPr="004711F3">
              <w:t>Refrigerant Charge Adjustment</w:t>
            </w:r>
            <w:r>
              <w:t>”</w:t>
            </w:r>
            <w:r w:rsidRPr="004711F3">
              <w:t xml:space="preserve"> </w:t>
            </w:r>
            <w:r>
              <w:rPr>
                <w:rFonts w:cstheme="minorHAnsi"/>
                <w:szCs w:val="22"/>
              </w:rPr>
              <w:t>document</w:t>
            </w:r>
            <w:r>
              <w:t xml:space="preserve">. </w:t>
            </w:r>
          </w:p>
          <w:p w14:paraId="66EE7ECC" w14:textId="27E42CA2" w:rsidR="004711F3" w:rsidRDefault="004711F3" w:rsidP="004711F3"/>
          <w:p w14:paraId="6E463AD1" w14:textId="2FE43EE0" w:rsidR="009A2332" w:rsidRDefault="004711F3" w:rsidP="004711F3">
            <w:r>
              <w:t>The target market for this measure is nonresidential buildings served by unitary DX and split systems that do not serve process or refrigeration loads. These measures are defined for all</w:t>
            </w:r>
            <w:r w:rsidR="0009698D">
              <w:t xml:space="preserve"> SCE California climate zones and </w:t>
            </w:r>
            <w:r w:rsidR="00BC5DF2">
              <w:t xml:space="preserve">building types as indicated in Attachment #1. </w:t>
            </w:r>
            <w:r w:rsidR="0009698D">
              <w:t xml:space="preserve"> </w:t>
            </w:r>
          </w:p>
        </w:tc>
      </w:tr>
      <w:tr w:rsidR="009A2332" w14:paraId="369C5B93" w14:textId="77777777" w:rsidTr="005801A2">
        <w:trPr>
          <w:trHeight w:val="576"/>
        </w:trPr>
        <w:tc>
          <w:tcPr>
            <w:tcW w:w="2785" w:type="dxa"/>
          </w:tcPr>
          <w:p w14:paraId="3E64C4BE" w14:textId="0CE1557B" w:rsidR="009A2332" w:rsidRDefault="009A2332" w:rsidP="009A2332">
            <w:r>
              <w:rPr>
                <w:rStyle w:val="Strong"/>
                <w:rFonts w:asciiTheme="minorHAnsi" w:hAnsiTheme="minorHAnsi"/>
                <w:szCs w:val="22"/>
              </w:rPr>
              <w:t>1.1 Measure &amp; Baseline</w:t>
            </w:r>
          </w:p>
        </w:tc>
        <w:tc>
          <w:tcPr>
            <w:tcW w:w="6570" w:type="dxa"/>
          </w:tcPr>
          <w:p w14:paraId="5AB91ED7" w14:textId="77777777" w:rsidR="00667322" w:rsidRPr="002E2D99" w:rsidRDefault="00667322" w:rsidP="00667322">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Baseline</w:t>
            </w:r>
          </w:p>
          <w:p w14:paraId="045E92B5" w14:textId="4E7F9D5E" w:rsidR="00E673E5" w:rsidRDefault="00E673E5" w:rsidP="00667322">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This measure assumes the existing </w:t>
            </w:r>
            <w:r w:rsidR="00E83F15">
              <w:rPr>
                <w:rFonts w:asciiTheme="minorHAnsi" w:hAnsiTheme="minorHAnsi" w:cstheme="minorHAnsi"/>
                <w:i w:val="0"/>
                <w:color w:val="auto"/>
                <w:szCs w:val="22"/>
              </w:rPr>
              <w:t>AC unit’s refrigerant is</w:t>
            </w:r>
            <w:r>
              <w:rPr>
                <w:rFonts w:asciiTheme="minorHAnsi" w:hAnsiTheme="minorHAnsi" w:cstheme="minorHAnsi"/>
                <w:i w:val="0"/>
                <w:color w:val="auto"/>
                <w:szCs w:val="22"/>
              </w:rPr>
              <w:t xml:space="preserve"> undercharged or overcharged by 4-50%</w:t>
            </w:r>
            <w:r w:rsidR="00556964">
              <w:rPr>
                <w:rFonts w:asciiTheme="minorHAnsi" w:hAnsiTheme="minorHAnsi" w:cstheme="minorHAnsi"/>
                <w:i w:val="0"/>
                <w:color w:val="auto"/>
                <w:szCs w:val="22"/>
              </w:rPr>
              <w:t xml:space="preserve"> as compared to the manufacturer specifications</w:t>
            </w:r>
            <w:r>
              <w:rPr>
                <w:rFonts w:asciiTheme="minorHAnsi" w:hAnsiTheme="minorHAnsi" w:cstheme="minorHAnsi"/>
                <w:i w:val="0"/>
                <w:color w:val="auto"/>
                <w:szCs w:val="22"/>
              </w:rPr>
              <w:t>.</w:t>
            </w:r>
          </w:p>
          <w:p w14:paraId="20753E13" w14:textId="77777777" w:rsidR="00E673E5" w:rsidRDefault="00E673E5" w:rsidP="00667322">
            <w:pPr>
              <w:pStyle w:val="Reminders"/>
              <w:tabs>
                <w:tab w:val="num" w:pos="360"/>
              </w:tabs>
              <w:rPr>
                <w:rFonts w:asciiTheme="minorHAnsi" w:hAnsiTheme="minorHAnsi" w:cstheme="minorHAnsi"/>
                <w:i w:val="0"/>
                <w:color w:val="auto"/>
                <w:szCs w:val="22"/>
              </w:rPr>
            </w:pPr>
          </w:p>
          <w:p w14:paraId="7DD306C9" w14:textId="77777777" w:rsidR="00667322" w:rsidRPr="002E2D99" w:rsidRDefault="00667322" w:rsidP="00667322">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Measure</w:t>
            </w:r>
          </w:p>
          <w:p w14:paraId="3ADC75B4" w14:textId="35B9CA22" w:rsidR="009A2332" w:rsidRDefault="00E673E5" w:rsidP="00667322">
            <w:r>
              <w:t>The refrigerant charge should be corrected to optimum levels based on the manufacturers’ specifications.</w:t>
            </w:r>
          </w:p>
        </w:tc>
      </w:tr>
      <w:tr w:rsidR="009A2332" w14:paraId="7CE0AC9F" w14:textId="77777777" w:rsidTr="005801A2">
        <w:trPr>
          <w:trHeight w:val="576"/>
        </w:trPr>
        <w:tc>
          <w:tcPr>
            <w:tcW w:w="2785" w:type="dxa"/>
          </w:tcPr>
          <w:p w14:paraId="2771E06F" w14:textId="3B991165" w:rsidR="009A2332" w:rsidRDefault="009A2332" w:rsidP="009A2332">
            <w:r>
              <w:rPr>
                <w:rStyle w:val="Strong"/>
                <w:rFonts w:asciiTheme="minorHAnsi" w:hAnsiTheme="minorHAnsi"/>
                <w:szCs w:val="22"/>
              </w:rPr>
              <w:t>1.2 Technical Description</w:t>
            </w:r>
          </w:p>
        </w:tc>
        <w:tc>
          <w:tcPr>
            <w:tcW w:w="6570" w:type="dxa"/>
          </w:tcPr>
          <w:p w14:paraId="56BBC77B" w14:textId="42F6D8E2" w:rsidR="009A2332" w:rsidRDefault="009A2332" w:rsidP="005801A2">
            <w:pPr>
              <w:pStyle w:val="NoSpacing"/>
            </w:pPr>
          </w:p>
        </w:tc>
      </w:tr>
      <w:tr w:rsidR="009A2332" w14:paraId="6A22A103" w14:textId="77777777" w:rsidTr="005801A2">
        <w:trPr>
          <w:trHeight w:val="576"/>
        </w:trPr>
        <w:tc>
          <w:tcPr>
            <w:tcW w:w="2785" w:type="dxa"/>
          </w:tcPr>
          <w:p w14:paraId="524B4207" w14:textId="7A3D34FE" w:rsidR="009A2332" w:rsidRDefault="009A2332" w:rsidP="009A2332">
            <w:r w:rsidRPr="009A2332">
              <w:rPr>
                <w:rStyle w:val="Strong"/>
                <w:rFonts w:asciiTheme="minorHAnsi" w:hAnsiTheme="minorHAnsi"/>
                <w:b w:val="0"/>
                <w:szCs w:val="22"/>
              </w:rPr>
              <w:t>Measures</w:t>
            </w:r>
          </w:p>
        </w:tc>
        <w:tc>
          <w:tcPr>
            <w:tcW w:w="6570" w:type="dxa"/>
          </w:tcPr>
          <w:p w14:paraId="074332E4" w14:textId="1020CE98" w:rsidR="00556964" w:rsidRDefault="00556964" w:rsidP="00556964">
            <w:r w:rsidRPr="00003904">
              <w:t xml:space="preserve">AC-20775 </w:t>
            </w:r>
            <w:r>
              <w:t xml:space="preserve">(HV387): </w:t>
            </w:r>
            <w:r w:rsidRPr="00BE3911">
              <w:t>Small Pkg AC system with No TXV, increase refrigerant charge from Typical under-charge (4 - 50%) to factory specified level</w:t>
            </w:r>
          </w:p>
          <w:p w14:paraId="503AC01C" w14:textId="77777777" w:rsidR="00556964" w:rsidRDefault="00556964" w:rsidP="00556964">
            <w:r w:rsidRPr="00003904">
              <w:t xml:space="preserve">AC-20776 </w:t>
            </w:r>
            <w:r>
              <w:t xml:space="preserve">(HV390): </w:t>
            </w:r>
            <w:r w:rsidRPr="00BE3911">
              <w:t>Small Pkg AC system with TXV, increase refrigerant charge from Typical under-charge (4 - 50%) to factory specified level</w:t>
            </w:r>
          </w:p>
          <w:p w14:paraId="3C5473CD" w14:textId="5595ECFF" w:rsidR="009A2332" w:rsidRDefault="00003904" w:rsidP="009A2332">
            <w:r w:rsidRPr="00003904">
              <w:t xml:space="preserve">AC-20777 </w:t>
            </w:r>
            <w:r w:rsidR="00BE3911">
              <w:t xml:space="preserve">(HV388): </w:t>
            </w:r>
            <w:r w:rsidR="00BE3911" w:rsidRPr="00BE3911">
              <w:t>Small Pkg AC system with No TXV, decrease refrigerant charge from Typical over-charge (4 - 50%) to factory specified level</w:t>
            </w:r>
          </w:p>
          <w:p w14:paraId="367A8DA1" w14:textId="7497B088" w:rsidR="00BE3911" w:rsidRDefault="00003904" w:rsidP="009A2332">
            <w:r w:rsidRPr="00003904">
              <w:t>AC-20778</w:t>
            </w:r>
            <w:r>
              <w:t xml:space="preserve"> </w:t>
            </w:r>
            <w:r w:rsidR="00BE3911">
              <w:t xml:space="preserve">(HV389): </w:t>
            </w:r>
            <w:r w:rsidR="00BE3911" w:rsidRPr="00BE3911">
              <w:t>Small Pkg AC system with TXV, decrease refrigerant charge from Typical over-charge (4 - 50%) to factory specified level</w:t>
            </w:r>
          </w:p>
          <w:p w14:paraId="6B50DD76" w14:textId="77777777" w:rsidR="00003904" w:rsidRDefault="00003904" w:rsidP="009A2332"/>
          <w:p w14:paraId="0D11CE28" w14:textId="77777777" w:rsidR="00003904" w:rsidRDefault="00003904" w:rsidP="009A2332">
            <w:r>
              <w:t>When an HVAC unit’s refrigerant charge does not meet the manufacturer recommended levels, it results in a decrease in the unit’s energy efficiency ratio (EER). Energy savings can be achieved by correcting refrigerant charge to optimum levels based on the manufacturers’ specifications.</w:t>
            </w:r>
          </w:p>
          <w:p w14:paraId="5245FB89" w14:textId="77777777" w:rsidR="007C261E" w:rsidRDefault="007C261E" w:rsidP="009A2332"/>
          <w:p w14:paraId="2C30E089" w14:textId="26A480B0" w:rsidR="007C261E" w:rsidRDefault="007C261E" w:rsidP="009A2332">
            <w:r>
              <w:t xml:space="preserve">Refer to </w:t>
            </w:r>
            <w:r w:rsidRPr="004711F3">
              <w:t>PGE3PHVC160_R3</w:t>
            </w:r>
            <w:r>
              <w:t xml:space="preserve"> Section 1.2 for detailed technical description.</w:t>
            </w:r>
          </w:p>
        </w:tc>
      </w:tr>
      <w:tr w:rsidR="009A2332" w14:paraId="59049B71" w14:textId="77777777" w:rsidTr="005801A2">
        <w:trPr>
          <w:trHeight w:val="576"/>
        </w:trPr>
        <w:tc>
          <w:tcPr>
            <w:tcW w:w="2785" w:type="dxa"/>
          </w:tcPr>
          <w:p w14:paraId="4D87E79A" w14:textId="1926E44B" w:rsidR="009A2332" w:rsidRDefault="009A2332" w:rsidP="009A2332">
            <w:r w:rsidRPr="009A2332">
              <w:rPr>
                <w:rStyle w:val="Strong"/>
                <w:rFonts w:asciiTheme="minorHAnsi" w:hAnsiTheme="minorHAnsi"/>
                <w:b w:val="0"/>
                <w:szCs w:val="22"/>
              </w:rPr>
              <w:t>Code for All Measures</w:t>
            </w:r>
          </w:p>
        </w:tc>
        <w:tc>
          <w:tcPr>
            <w:tcW w:w="6570" w:type="dxa"/>
          </w:tcPr>
          <w:p w14:paraId="71CCCDEB" w14:textId="779B338A" w:rsidR="009A2332" w:rsidRPr="007C261E" w:rsidRDefault="007C261E" w:rsidP="009A2332">
            <w:pPr>
              <w:rPr>
                <w:rFonts w:cstheme="minorHAnsi"/>
                <w:szCs w:val="22"/>
              </w:rPr>
            </w:pPr>
            <w:r w:rsidRPr="00B04AD2">
              <w:rPr>
                <w:rFonts w:cstheme="minorHAnsi"/>
                <w:szCs w:val="22"/>
              </w:rPr>
              <w:t xml:space="preserve">These maintenance measures are not governed by either state or federal codes and standards. </w:t>
            </w:r>
            <w:r w:rsidRPr="00BA55F6">
              <w:rPr>
                <w:rFonts w:cstheme="minorHAnsi"/>
                <w:szCs w:val="22"/>
              </w:rPr>
              <w:t xml:space="preserve">The document Standard 180-2008, </w:t>
            </w:r>
            <w:r w:rsidRPr="00BA55F6">
              <w:rPr>
                <w:rFonts w:cstheme="minorHAnsi"/>
                <w:szCs w:val="22"/>
              </w:rPr>
              <w:lastRenderedPageBreak/>
              <w:t>Standard Practice for Inspection and Maintenance of Commercial Building HVAC Systems</w:t>
            </w:r>
            <w:r>
              <w:rPr>
                <w:rFonts w:cstheme="minorHAnsi"/>
                <w:szCs w:val="22"/>
                <w:vertAlign w:val="superscript"/>
              </w:rPr>
              <w:t xml:space="preserve"> </w:t>
            </w:r>
            <w:r w:rsidRPr="00BA55F6">
              <w:rPr>
                <w:rFonts w:cstheme="minorHAnsi"/>
                <w:szCs w:val="22"/>
              </w:rPr>
              <w:t xml:space="preserve">may be used by QM programs as a guide for measure implementation. </w:t>
            </w:r>
            <w:r w:rsidRPr="00B04AD2">
              <w:rPr>
                <w:rFonts w:cstheme="minorHAnsi"/>
                <w:szCs w:val="22"/>
              </w:rPr>
              <w:t>Only licensed California contractors will participate in the program.</w:t>
            </w:r>
            <w:r w:rsidR="003544A2">
              <w:rPr>
                <w:rFonts w:cstheme="minorHAnsi"/>
                <w:szCs w:val="22"/>
              </w:rPr>
              <w:t xml:space="preserve"> </w:t>
            </w:r>
            <w:r w:rsidR="003544A2" w:rsidRPr="003544A2">
              <w:rPr>
                <w:rFonts w:cstheme="minorHAnsi"/>
                <w:szCs w:val="22"/>
              </w:rPr>
              <w:t>As required by the California State Licensing Board, contractors will be responsible for meeting all applicable codes. In general, maintenance and repairs do not require permits.</w:t>
            </w:r>
          </w:p>
        </w:tc>
      </w:tr>
      <w:tr w:rsidR="009A2332" w14:paraId="7696972E" w14:textId="77777777" w:rsidTr="005801A2">
        <w:trPr>
          <w:trHeight w:val="576"/>
        </w:trPr>
        <w:tc>
          <w:tcPr>
            <w:tcW w:w="2785" w:type="dxa"/>
          </w:tcPr>
          <w:p w14:paraId="20CC2D9F" w14:textId="0410DA01" w:rsidR="009A2332" w:rsidRDefault="009A2332" w:rsidP="009A2332">
            <w:r w:rsidRPr="009A2332">
              <w:rPr>
                <w:rStyle w:val="Strong"/>
                <w:rFonts w:asciiTheme="minorHAnsi" w:hAnsiTheme="minorHAnsi"/>
                <w:b w:val="0"/>
                <w:szCs w:val="22"/>
              </w:rPr>
              <w:lastRenderedPageBreak/>
              <w:t>Requirements</w:t>
            </w:r>
          </w:p>
        </w:tc>
        <w:tc>
          <w:tcPr>
            <w:tcW w:w="6570" w:type="dxa"/>
          </w:tcPr>
          <w:p w14:paraId="63B9F98A" w14:textId="3B2ED6C9" w:rsidR="007C261E" w:rsidRDefault="007C261E" w:rsidP="007C261E">
            <w:pPr>
              <w:pStyle w:val="NoSpacing"/>
            </w:pPr>
            <w:r>
              <w:t>This measure is only appropriate for 4-50% undercharged or overcharged units</w:t>
            </w:r>
            <w:r w:rsidR="00E673E5">
              <w:t>.</w:t>
            </w:r>
            <w:r>
              <w:t xml:space="preserve"> Systems undercharged or overcharged by &lt;4% are not eligible for claimed savings. </w:t>
            </w:r>
          </w:p>
          <w:p w14:paraId="54A7C712" w14:textId="77777777" w:rsidR="007C261E" w:rsidRDefault="007C261E" w:rsidP="007C261E">
            <w:pPr>
              <w:pStyle w:val="NoSpacing"/>
            </w:pPr>
          </w:p>
          <w:p w14:paraId="07612EFF" w14:textId="77777777" w:rsidR="009A2332" w:rsidRDefault="007C261E" w:rsidP="007C261E">
            <w:pPr>
              <w:pStyle w:val="NoSpacing"/>
            </w:pPr>
            <w:r>
              <w:t>This measure requires field documentation of the existing conditions that verify the measure was necessary and that the measure was successfully applied. The diagnosis and correction must be performed in accordance with CPUC Resolution E-4867</w:t>
            </w:r>
            <w:r w:rsidR="00CA40C3">
              <w:t>.</w:t>
            </w:r>
          </w:p>
          <w:p w14:paraId="69A8D205" w14:textId="77777777" w:rsidR="00276EF6" w:rsidRDefault="00276EF6" w:rsidP="007C261E">
            <w:pPr>
              <w:pStyle w:val="NoSpacing"/>
            </w:pPr>
          </w:p>
          <w:p w14:paraId="53FEF1FF" w14:textId="07ABCD90" w:rsidR="00276EF6" w:rsidRDefault="00276EF6" w:rsidP="007C261E">
            <w:pPr>
              <w:pStyle w:val="NoSpacing"/>
            </w:pPr>
            <w:r>
              <w:t xml:space="preserve">Refer to Section 1.1 of </w:t>
            </w:r>
            <w:r w:rsidRPr="004711F3">
              <w:t>PGE3PHVC160_R3</w:t>
            </w:r>
            <w:r>
              <w:t xml:space="preserve"> for additional information.  </w:t>
            </w:r>
          </w:p>
        </w:tc>
      </w:tr>
      <w:tr w:rsidR="009A2332" w14:paraId="40AF0DB1" w14:textId="77777777" w:rsidTr="005801A2">
        <w:trPr>
          <w:trHeight w:val="576"/>
        </w:trPr>
        <w:tc>
          <w:tcPr>
            <w:tcW w:w="2785" w:type="dxa"/>
          </w:tcPr>
          <w:p w14:paraId="0A32ADDC" w14:textId="15881A27" w:rsidR="009A2332" w:rsidRDefault="009A2332" w:rsidP="009A2332">
            <w:commentRangeStart w:id="3"/>
            <w:r>
              <w:rPr>
                <w:rStyle w:val="Strong"/>
                <w:rFonts w:asciiTheme="minorHAnsi" w:hAnsiTheme="minorHAnsi"/>
                <w:szCs w:val="22"/>
              </w:rPr>
              <w:t>1.3 Installation Type and Delivery Mechanisms</w:t>
            </w:r>
            <w:commentRangeEnd w:id="3"/>
            <w:r w:rsidR="009E5859">
              <w:rPr>
                <w:rStyle w:val="CommentReference"/>
              </w:rPr>
              <w:commentReference w:id="3"/>
            </w:r>
          </w:p>
        </w:tc>
        <w:tc>
          <w:tcPr>
            <w:tcW w:w="6570" w:type="dxa"/>
          </w:tcPr>
          <w:p w14:paraId="554484FF" w14:textId="77777777" w:rsidR="009A2332" w:rsidRDefault="009A2332" w:rsidP="009A2332"/>
        </w:tc>
      </w:tr>
      <w:tr w:rsidR="009D1192" w14:paraId="5D5B8844" w14:textId="77777777" w:rsidTr="005801A2">
        <w:trPr>
          <w:trHeight w:val="576"/>
        </w:trPr>
        <w:tc>
          <w:tcPr>
            <w:tcW w:w="2785" w:type="dxa"/>
          </w:tcPr>
          <w:p w14:paraId="75A73897" w14:textId="21601014" w:rsidR="009D1192" w:rsidRDefault="009D1192" w:rsidP="009D1192">
            <w:r w:rsidRPr="009A2332">
              <w:rPr>
                <w:rStyle w:val="Strong"/>
                <w:rFonts w:asciiTheme="minorHAnsi" w:hAnsiTheme="minorHAnsi"/>
                <w:b w:val="0"/>
                <w:szCs w:val="22"/>
              </w:rPr>
              <w:t>Installation Type</w:t>
            </w:r>
          </w:p>
        </w:tc>
        <w:tc>
          <w:tcPr>
            <w:tcW w:w="6570" w:type="dxa"/>
          </w:tcPr>
          <w:p w14:paraId="2B32F7DC" w14:textId="023A390F" w:rsidR="009D1192" w:rsidRDefault="009D1192" w:rsidP="009D1192">
            <w:r w:rsidRPr="00F16068">
              <w:t xml:space="preserve">Deviation. </w:t>
            </w:r>
            <w:r w:rsidRPr="00EB27D2">
              <w:t>Install type</w:t>
            </w:r>
            <w:r w:rsidRPr="00F16068">
              <w:t xml:space="preserve"> changed from Retro-Commissioning (RC) to</w:t>
            </w:r>
            <w:r w:rsidRPr="00EB27D2">
              <w:t xml:space="preserve"> </w:t>
            </w:r>
            <w:r w:rsidRPr="00F16068">
              <w:rPr>
                <w:b/>
              </w:rPr>
              <w:t>Retrofit Add-On (REA)</w:t>
            </w:r>
          </w:p>
        </w:tc>
      </w:tr>
      <w:tr w:rsidR="009D1192" w14:paraId="3CF006A0" w14:textId="77777777" w:rsidTr="005801A2">
        <w:trPr>
          <w:trHeight w:val="576"/>
        </w:trPr>
        <w:tc>
          <w:tcPr>
            <w:tcW w:w="2785" w:type="dxa"/>
          </w:tcPr>
          <w:p w14:paraId="548E0861" w14:textId="7D5594CC" w:rsidR="009D1192" w:rsidRDefault="009D1192" w:rsidP="009D1192">
            <w:r w:rsidRPr="009A2332">
              <w:rPr>
                <w:rStyle w:val="Strong"/>
                <w:rFonts w:asciiTheme="minorHAnsi" w:hAnsiTheme="minorHAnsi"/>
                <w:b w:val="0"/>
                <w:szCs w:val="22"/>
              </w:rPr>
              <w:t>Delivery Mechanisms</w:t>
            </w:r>
          </w:p>
        </w:tc>
        <w:tc>
          <w:tcPr>
            <w:tcW w:w="6570" w:type="dxa"/>
          </w:tcPr>
          <w:p w14:paraId="0B061258" w14:textId="77777777" w:rsidR="007162F6" w:rsidRPr="00EB27D2" w:rsidRDefault="007162F6" w:rsidP="007162F6">
            <w:r w:rsidRPr="00EB27D2">
              <w:t>Mid-Stream Programs: Mid-Stream Incentive</w:t>
            </w:r>
          </w:p>
          <w:p w14:paraId="02FA73BE" w14:textId="77777777" w:rsidR="007162F6" w:rsidRDefault="007162F6" w:rsidP="007162F6">
            <w:pPr>
              <w:rPr>
                <w:b/>
              </w:rPr>
            </w:pPr>
            <w:r>
              <w:t xml:space="preserve">Deviation from PG&amp;E, </w:t>
            </w:r>
            <w:r w:rsidRPr="00A63BB1">
              <w:t>Adding:</w:t>
            </w:r>
          </w:p>
          <w:p w14:paraId="5D36F539" w14:textId="77777777" w:rsidR="007162F6" w:rsidRDefault="007162F6" w:rsidP="007162F6">
            <w:pPr>
              <w:pStyle w:val="ListParagraph"/>
              <w:numPr>
                <w:ilvl w:val="0"/>
                <w:numId w:val="40"/>
              </w:numPr>
              <w:rPr>
                <w:b/>
              </w:rPr>
            </w:pPr>
            <w:r>
              <w:rPr>
                <w:b/>
              </w:rPr>
              <w:t>Financial Support: Direct Install</w:t>
            </w:r>
          </w:p>
          <w:p w14:paraId="206A6434" w14:textId="77777777" w:rsidR="007162F6" w:rsidRPr="00AB23C7" w:rsidRDefault="007162F6" w:rsidP="007162F6">
            <w:pPr>
              <w:pStyle w:val="ListParagraph"/>
              <w:numPr>
                <w:ilvl w:val="0"/>
                <w:numId w:val="40"/>
              </w:numPr>
              <w:rPr>
                <w:b/>
              </w:rPr>
            </w:pPr>
            <w:r w:rsidRPr="00A63BB1">
              <w:rPr>
                <w:b/>
              </w:rPr>
              <w:t>Financial Support: Down-Stream Incentive – Deemed</w:t>
            </w:r>
          </w:p>
          <w:p w14:paraId="2C92D6DD" w14:textId="77777777" w:rsidR="007162F6" w:rsidRPr="00A63BB1" w:rsidRDefault="007162F6" w:rsidP="007162F6">
            <w:pPr>
              <w:pStyle w:val="ListParagraph"/>
              <w:numPr>
                <w:ilvl w:val="0"/>
                <w:numId w:val="40"/>
              </w:numPr>
              <w:rPr>
                <w:b/>
              </w:rPr>
            </w:pPr>
            <w:r w:rsidRPr="00A63BB1">
              <w:rPr>
                <w:b/>
              </w:rPr>
              <w:t>Up-Stream Programs: Up-Stream Incentive</w:t>
            </w:r>
          </w:p>
          <w:p w14:paraId="247AA5F2" w14:textId="77777777" w:rsidR="009D1192" w:rsidRDefault="009D1192" w:rsidP="009D1192">
            <w:bookmarkStart w:id="4" w:name="_GoBack"/>
            <w:bookmarkEnd w:id="4"/>
          </w:p>
          <w:p w14:paraId="67E45078" w14:textId="103D0BAF" w:rsidR="009D1192" w:rsidRDefault="009D1192" w:rsidP="009D1192">
            <w:r w:rsidRPr="00453B82">
              <w:t>For SCE, incentive methods include On-bill Finance/Loan - The program offers financing for the cost an efficient measure as part of the utility bill. This can be an add-on option to an existing program or can serve as an organizing principle for its own pr</w:t>
            </w:r>
            <w:r>
              <w:t>ogram.</w:t>
            </w:r>
          </w:p>
        </w:tc>
      </w:tr>
      <w:tr w:rsidR="009A2332" w14:paraId="09F7817D" w14:textId="77777777" w:rsidTr="005801A2">
        <w:trPr>
          <w:trHeight w:val="576"/>
        </w:trPr>
        <w:tc>
          <w:tcPr>
            <w:tcW w:w="2785" w:type="dxa"/>
          </w:tcPr>
          <w:p w14:paraId="68DCF28E" w14:textId="573A4587" w:rsidR="009A2332" w:rsidRDefault="009A2332" w:rsidP="009A2332">
            <w:r>
              <w:rPr>
                <w:rStyle w:val="Strong"/>
                <w:rFonts w:asciiTheme="minorHAnsi" w:hAnsiTheme="minorHAnsi"/>
                <w:szCs w:val="22"/>
              </w:rPr>
              <w:t>1.4.1 DEER Data</w:t>
            </w:r>
          </w:p>
        </w:tc>
        <w:tc>
          <w:tcPr>
            <w:tcW w:w="6570" w:type="dxa"/>
          </w:tcPr>
          <w:p w14:paraId="7F520E32" w14:textId="77777777" w:rsidR="009A2332" w:rsidRDefault="009A2332" w:rsidP="009A2332"/>
        </w:tc>
      </w:tr>
      <w:tr w:rsidR="009A2332" w14:paraId="51073860" w14:textId="77777777" w:rsidTr="005801A2">
        <w:trPr>
          <w:trHeight w:val="576"/>
        </w:trPr>
        <w:tc>
          <w:tcPr>
            <w:tcW w:w="2785" w:type="dxa"/>
          </w:tcPr>
          <w:p w14:paraId="07705888" w14:textId="718A29C7" w:rsidR="009A2332" w:rsidRDefault="009A2332" w:rsidP="009A2332">
            <w:r w:rsidRPr="009A2332">
              <w:rPr>
                <w:rStyle w:val="Strong"/>
                <w:rFonts w:asciiTheme="minorHAnsi" w:hAnsiTheme="minorHAnsi"/>
                <w:b w:val="0"/>
                <w:szCs w:val="22"/>
              </w:rPr>
              <w:t>Net-Gross-Ratio</w:t>
            </w:r>
          </w:p>
        </w:tc>
        <w:tc>
          <w:tcPr>
            <w:tcW w:w="6570" w:type="dxa"/>
          </w:tcPr>
          <w:p w14:paraId="657AABC7" w14:textId="77777777" w:rsidR="009D1192" w:rsidRDefault="009D1192" w:rsidP="009D1192">
            <w:r>
              <w:t>Deviating from PG&amp;E’s NTG Section.</w:t>
            </w:r>
          </w:p>
          <w:p w14:paraId="2E1CCC2F" w14:textId="77777777" w:rsidR="009D1192" w:rsidRPr="00F16068" w:rsidRDefault="009D1192" w:rsidP="009D1192">
            <w:r w:rsidRPr="00F16068">
              <w:t xml:space="preserve">All Non-Upstream NTG ID: </w:t>
            </w:r>
          </w:p>
          <w:p w14:paraId="21D1E737" w14:textId="77777777" w:rsidR="009D1192" w:rsidRPr="00F16068" w:rsidRDefault="009D1192" w:rsidP="009D1192">
            <w:pPr>
              <w:pStyle w:val="ListParagraph"/>
              <w:numPr>
                <w:ilvl w:val="0"/>
                <w:numId w:val="39"/>
              </w:numPr>
            </w:pPr>
            <w:r w:rsidRPr="00F16068">
              <w:t>NonRes-sAll-mHVAC-RCA (NTGR: 0.73</w:t>
            </w:r>
            <w:r w:rsidRPr="00511346">
              <w:t>)</w:t>
            </w:r>
          </w:p>
          <w:p w14:paraId="0C9FEF0B" w14:textId="77777777" w:rsidR="009D1192" w:rsidRDefault="009D1192" w:rsidP="009D1192"/>
          <w:p w14:paraId="6EA2261A" w14:textId="77777777" w:rsidR="009D1192" w:rsidRPr="00F16068" w:rsidRDefault="009D1192" w:rsidP="009D1192">
            <w:r>
              <w:t xml:space="preserve">Midstream &amp; </w:t>
            </w:r>
            <w:r w:rsidRPr="00F16068">
              <w:t>Upstream NTG ID</w:t>
            </w:r>
            <w:r>
              <w:t>s</w:t>
            </w:r>
            <w:r w:rsidRPr="00F16068">
              <w:t>:</w:t>
            </w:r>
          </w:p>
          <w:p w14:paraId="5D9C9A9F" w14:textId="77777777" w:rsidR="009D1192" w:rsidRPr="00511346" w:rsidRDefault="009D1192" w:rsidP="009D1192">
            <w:pPr>
              <w:pStyle w:val="ListParagraph"/>
              <w:numPr>
                <w:ilvl w:val="0"/>
                <w:numId w:val="39"/>
              </w:numPr>
            </w:pPr>
            <w:r w:rsidRPr="00F16068">
              <w:t>Com-Default&gt;2yrs (NTGR: 0.60</w:t>
            </w:r>
            <w:r w:rsidRPr="00511346">
              <w:t>)</w:t>
            </w:r>
          </w:p>
          <w:p w14:paraId="5BE4A43F" w14:textId="77777777" w:rsidR="009D1192" w:rsidRDefault="009D1192" w:rsidP="009D1192">
            <w:pPr>
              <w:pStyle w:val="ListParagraph"/>
              <w:numPr>
                <w:ilvl w:val="0"/>
                <w:numId w:val="39"/>
              </w:numPr>
            </w:pPr>
            <w:r w:rsidRPr="00511346">
              <w:t>Ind-Default&gt;2yrs (NTGR: 0.60)</w:t>
            </w:r>
          </w:p>
          <w:p w14:paraId="6D7DE099" w14:textId="77777777" w:rsidR="009D1192" w:rsidRPr="00511346" w:rsidRDefault="009D1192" w:rsidP="009D1192">
            <w:pPr>
              <w:pStyle w:val="ListParagraph"/>
              <w:numPr>
                <w:ilvl w:val="0"/>
                <w:numId w:val="39"/>
              </w:numPr>
            </w:pPr>
            <w:r w:rsidRPr="00511346">
              <w:t>Ag</w:t>
            </w:r>
            <w:r>
              <w:t>ric</w:t>
            </w:r>
            <w:r w:rsidRPr="00511346">
              <w:t>-Default&gt;2yrs (NTGR: 0.60)</w:t>
            </w:r>
          </w:p>
          <w:p w14:paraId="7C01181E" w14:textId="426CDD82" w:rsidR="009A2332" w:rsidRDefault="009A2332" w:rsidP="00787F38"/>
        </w:tc>
      </w:tr>
      <w:tr w:rsidR="009A2332" w14:paraId="7A4E17C4" w14:textId="77777777" w:rsidTr="005801A2">
        <w:trPr>
          <w:trHeight w:val="576"/>
        </w:trPr>
        <w:tc>
          <w:tcPr>
            <w:tcW w:w="2785" w:type="dxa"/>
          </w:tcPr>
          <w:p w14:paraId="08063215" w14:textId="5C719A0C" w:rsidR="009A2332" w:rsidRDefault="009A2332" w:rsidP="009A2332">
            <w:r w:rsidRPr="009A2332">
              <w:rPr>
                <w:rStyle w:val="Strong"/>
                <w:rFonts w:asciiTheme="minorHAnsi" w:hAnsiTheme="minorHAnsi"/>
                <w:b w:val="0"/>
                <w:szCs w:val="22"/>
              </w:rPr>
              <w:lastRenderedPageBreak/>
              <w:t>Effective and Remaining Useful Life</w:t>
            </w:r>
          </w:p>
        </w:tc>
        <w:tc>
          <w:tcPr>
            <w:tcW w:w="6570" w:type="dxa"/>
          </w:tcPr>
          <w:p w14:paraId="6EB746F7" w14:textId="1C616383" w:rsidR="00176BCE" w:rsidRDefault="00176BCE" w:rsidP="009A2332">
            <w:r>
              <w:t xml:space="preserve">EUL ID: </w:t>
            </w:r>
            <w:r w:rsidRPr="00176BCE">
              <w:t>HVAC-RefChg</w:t>
            </w:r>
            <w:r w:rsidR="009D1192">
              <w:t xml:space="preserve"> (</w:t>
            </w:r>
            <w:r>
              <w:t>EUL: 3.0</w:t>
            </w:r>
            <w:r w:rsidR="009D1192">
              <w:t xml:space="preserve"> / </w:t>
            </w:r>
            <w:r>
              <w:t>RUL: 3.0</w:t>
            </w:r>
            <w:r w:rsidR="009D1192">
              <w:t>)</w:t>
            </w:r>
          </w:p>
          <w:p w14:paraId="5BB8A545" w14:textId="77777777" w:rsidR="00176BCE" w:rsidRDefault="00176BCE" w:rsidP="009A2332"/>
          <w:p w14:paraId="70BC13BC" w14:textId="0265F523" w:rsidR="00176BCE" w:rsidRDefault="00176BCE" w:rsidP="009A2332">
            <w:bookmarkStart w:id="5" w:name="_Hlk511660632"/>
            <w:r>
              <w:t>Per Resolution E-4818, measures resulting in performance that does not exceed the nominal efficiency of the pre-existing equipment have an effective useful life not to exceed three years, and for this reason the EUL and RUL of this measure are capped at three years.</w:t>
            </w:r>
            <w:bookmarkEnd w:id="5"/>
          </w:p>
        </w:tc>
      </w:tr>
      <w:tr w:rsidR="009A2332" w14:paraId="7C928286" w14:textId="77777777" w:rsidTr="005801A2">
        <w:trPr>
          <w:trHeight w:val="576"/>
        </w:trPr>
        <w:tc>
          <w:tcPr>
            <w:tcW w:w="2785" w:type="dxa"/>
          </w:tcPr>
          <w:p w14:paraId="6ECE75DB" w14:textId="0D2FA7C9" w:rsidR="009A2332" w:rsidRDefault="009A2332" w:rsidP="009A2332">
            <w:r>
              <w:rPr>
                <w:rStyle w:val="Strong"/>
                <w:rFonts w:asciiTheme="minorHAnsi" w:hAnsiTheme="minorHAnsi"/>
                <w:szCs w:val="22"/>
              </w:rPr>
              <w:t>Section 2. Calculation Methodology</w:t>
            </w:r>
          </w:p>
        </w:tc>
        <w:tc>
          <w:tcPr>
            <w:tcW w:w="6570" w:type="dxa"/>
          </w:tcPr>
          <w:p w14:paraId="018C407C" w14:textId="77777777" w:rsidR="009A2332" w:rsidRDefault="009A2332" w:rsidP="009A2332"/>
        </w:tc>
      </w:tr>
      <w:tr w:rsidR="009A2332" w14:paraId="2060FD54" w14:textId="77777777" w:rsidTr="005801A2">
        <w:trPr>
          <w:trHeight w:val="576"/>
        </w:trPr>
        <w:tc>
          <w:tcPr>
            <w:tcW w:w="278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6570" w:type="dxa"/>
          </w:tcPr>
          <w:p w14:paraId="48A295FE" w14:textId="5BA11821" w:rsidR="009A2332" w:rsidRPr="00A675A7" w:rsidRDefault="00A675A7" w:rsidP="009A2332">
            <w:pPr>
              <w:rPr>
                <w:rFonts w:cs="Arial"/>
                <w:szCs w:val="22"/>
              </w:rPr>
            </w:pPr>
            <w:r>
              <w:rPr>
                <w:rFonts w:cs="Calibri"/>
                <w:szCs w:val="22"/>
              </w:rPr>
              <w:t>DEER UES values are used; no calculation methodology was used in this workpaper to derive UES values. UES values are per ton of unit capacity. For units with multiple refrigerant circuits, UES values are only to be applied to the tonnage of the circuit being recharged, not the total unit tonnage.</w:t>
            </w:r>
          </w:p>
        </w:tc>
      </w:tr>
      <w:tr w:rsidR="009A2332" w14:paraId="79416F6B" w14:textId="77777777" w:rsidTr="005801A2">
        <w:trPr>
          <w:trHeight w:val="576"/>
        </w:trPr>
        <w:tc>
          <w:tcPr>
            <w:tcW w:w="2785" w:type="dxa"/>
          </w:tcPr>
          <w:p w14:paraId="63B2A37F" w14:textId="79D3BD2C" w:rsidR="009A2332" w:rsidRDefault="009A2332" w:rsidP="009A2332">
            <w:r>
              <w:rPr>
                <w:rStyle w:val="Strong"/>
                <w:rFonts w:asciiTheme="minorHAnsi" w:hAnsiTheme="minorHAnsi"/>
                <w:szCs w:val="22"/>
              </w:rPr>
              <w:t>Section 3. Load Shapes</w:t>
            </w:r>
          </w:p>
        </w:tc>
        <w:tc>
          <w:tcPr>
            <w:tcW w:w="6570" w:type="dxa"/>
          </w:tcPr>
          <w:p w14:paraId="573722DD" w14:textId="35ABB380" w:rsidR="009A2332" w:rsidRDefault="00FD4970" w:rsidP="009A2332">
            <w:r>
              <w:t>DEER:HVAC_Split-Package_AC</w:t>
            </w:r>
          </w:p>
        </w:tc>
      </w:tr>
      <w:tr w:rsidR="00FD4970" w14:paraId="0E2DA162" w14:textId="77777777" w:rsidTr="005801A2">
        <w:trPr>
          <w:trHeight w:val="576"/>
        </w:trPr>
        <w:tc>
          <w:tcPr>
            <w:tcW w:w="2785" w:type="dxa"/>
          </w:tcPr>
          <w:p w14:paraId="17E265C7" w14:textId="4B0D36D9" w:rsidR="00FD4970" w:rsidRDefault="00FD4970" w:rsidP="00FD4970">
            <w:r>
              <w:rPr>
                <w:rStyle w:val="Strong"/>
                <w:rFonts w:asciiTheme="minorHAnsi" w:hAnsiTheme="minorHAnsi"/>
                <w:szCs w:val="22"/>
              </w:rPr>
              <w:t>Section 4. Costs</w:t>
            </w:r>
          </w:p>
        </w:tc>
        <w:tc>
          <w:tcPr>
            <w:tcW w:w="6570" w:type="dxa"/>
          </w:tcPr>
          <w:p w14:paraId="636754D0" w14:textId="2AFE2340" w:rsidR="00FD4970" w:rsidRDefault="00FD4970" w:rsidP="00FD4970">
            <w:r>
              <w:rPr>
                <w:rFonts w:cstheme="minorHAnsi"/>
                <w:szCs w:val="22"/>
              </w:rPr>
              <w:t>Refer to</w:t>
            </w:r>
            <w:r w:rsidR="00BC5DF2">
              <w:rPr>
                <w:rFonts w:cstheme="minorHAnsi"/>
                <w:szCs w:val="22"/>
              </w:rPr>
              <w:t xml:space="preserve"> Section 4 of </w:t>
            </w:r>
            <w:r>
              <w:rPr>
                <w:rFonts w:cstheme="minorHAnsi"/>
                <w:szCs w:val="22"/>
              </w:rPr>
              <w:t xml:space="preserve">full workpaper </w:t>
            </w:r>
            <w:r w:rsidRPr="004711F3">
              <w:t>PGE3PHVC160_R3</w:t>
            </w:r>
            <w:r>
              <w:t xml:space="preserve"> </w:t>
            </w:r>
            <w:r>
              <w:rPr>
                <w:rFonts w:cstheme="minorHAnsi"/>
                <w:szCs w:val="22"/>
              </w:rPr>
              <w:t>for detailed costing methodology.</w:t>
            </w:r>
          </w:p>
        </w:tc>
      </w:tr>
      <w:tr w:rsidR="00FD4970" w14:paraId="00EA9279" w14:textId="77777777" w:rsidTr="005801A2">
        <w:trPr>
          <w:trHeight w:val="576"/>
        </w:trPr>
        <w:tc>
          <w:tcPr>
            <w:tcW w:w="2785" w:type="dxa"/>
          </w:tcPr>
          <w:p w14:paraId="448F5A7F" w14:textId="54FDF208" w:rsidR="00FD4970" w:rsidRDefault="00FD4970" w:rsidP="00FD4970">
            <w:r>
              <w:rPr>
                <w:rStyle w:val="Strong"/>
                <w:rFonts w:asciiTheme="minorHAnsi" w:hAnsiTheme="minorHAnsi"/>
                <w:szCs w:val="22"/>
              </w:rPr>
              <w:t>Section 4.1 Base and Measure Costs</w:t>
            </w:r>
          </w:p>
        </w:tc>
        <w:tc>
          <w:tcPr>
            <w:tcW w:w="6570" w:type="dxa"/>
          </w:tcPr>
          <w:p w14:paraId="4A8F9241" w14:textId="77777777" w:rsidR="00FD4970" w:rsidRDefault="00FD4970" w:rsidP="00FD4970"/>
        </w:tc>
      </w:tr>
      <w:tr w:rsidR="00FD4970" w14:paraId="3A76B5D7" w14:textId="77777777" w:rsidTr="005801A2">
        <w:trPr>
          <w:trHeight w:val="576"/>
        </w:trPr>
        <w:tc>
          <w:tcPr>
            <w:tcW w:w="2785" w:type="dxa"/>
          </w:tcPr>
          <w:p w14:paraId="71D5F97A" w14:textId="4A102F72" w:rsidR="00FD4970" w:rsidRDefault="00FD4970" w:rsidP="00FD4970">
            <w:r w:rsidRPr="009A2332">
              <w:rPr>
                <w:rStyle w:val="Strong"/>
                <w:rFonts w:asciiTheme="minorHAnsi" w:hAnsiTheme="minorHAnsi"/>
                <w:b w:val="0"/>
                <w:szCs w:val="22"/>
              </w:rPr>
              <w:t>Base Cost</w:t>
            </w:r>
          </w:p>
        </w:tc>
        <w:tc>
          <w:tcPr>
            <w:tcW w:w="6570" w:type="dxa"/>
          </w:tcPr>
          <w:p w14:paraId="38D0B9DA" w14:textId="1C6CBF26" w:rsidR="00FD4970" w:rsidRDefault="003078D1" w:rsidP="00FD4970">
            <w:r>
              <w:t>The base case is the customer’s existing equipment; therefore, the base case cost is $0.00.</w:t>
            </w:r>
          </w:p>
        </w:tc>
      </w:tr>
      <w:tr w:rsidR="00FD4970" w14:paraId="6AD1198A" w14:textId="77777777" w:rsidTr="005801A2">
        <w:trPr>
          <w:trHeight w:val="576"/>
        </w:trPr>
        <w:tc>
          <w:tcPr>
            <w:tcW w:w="2785" w:type="dxa"/>
          </w:tcPr>
          <w:p w14:paraId="41F89B1B" w14:textId="65C5DF1C" w:rsidR="00FD4970" w:rsidRDefault="00FD4970" w:rsidP="00FD4970">
            <w:r w:rsidRPr="009A2332">
              <w:rPr>
                <w:rStyle w:val="Strong"/>
                <w:rFonts w:asciiTheme="minorHAnsi" w:hAnsiTheme="minorHAnsi"/>
                <w:b w:val="0"/>
                <w:szCs w:val="22"/>
              </w:rPr>
              <w:t>Measure Cost</w:t>
            </w:r>
          </w:p>
        </w:tc>
        <w:tc>
          <w:tcPr>
            <w:tcW w:w="6570" w:type="dxa"/>
          </w:tcPr>
          <w:p w14:paraId="6FFDF7A2" w14:textId="3F98C6A5" w:rsidR="00283444" w:rsidRDefault="00283444" w:rsidP="00283444">
            <w:r>
              <w:t>Material: $8.32</w:t>
            </w:r>
            <w:r w:rsidR="00276EF6">
              <w:t>/ton</w:t>
            </w:r>
          </w:p>
          <w:p w14:paraId="7D11F550" w14:textId="370FF849" w:rsidR="00283444" w:rsidRDefault="00283444" w:rsidP="00283444">
            <w:r>
              <w:t>Labor: $39.17</w:t>
            </w:r>
            <w:r w:rsidR="00276EF6">
              <w:t>/ton</w:t>
            </w:r>
          </w:p>
          <w:p w14:paraId="7963200A" w14:textId="3F97CC85" w:rsidR="00FD4970" w:rsidRDefault="00283444" w:rsidP="00283444">
            <w:r>
              <w:t>Total: $47.49</w:t>
            </w:r>
            <w:r w:rsidR="00276EF6">
              <w:t>/ton</w:t>
            </w:r>
          </w:p>
        </w:tc>
      </w:tr>
    </w:tbl>
    <w:p w14:paraId="0D58D0C5" w14:textId="77777777" w:rsidR="00E673E5" w:rsidRDefault="00E673E5" w:rsidP="00E673E5">
      <w:pPr>
        <w:rPr>
          <w:b/>
          <w:szCs w:val="20"/>
        </w:rPr>
      </w:pPr>
      <w:bookmarkStart w:id="6" w:name="_Toc214003099"/>
      <w:bookmarkEnd w:id="1"/>
    </w:p>
    <w:p w14:paraId="66B5D644" w14:textId="059DAF40" w:rsidR="00E673E5" w:rsidRDefault="00E673E5" w:rsidP="00E673E5">
      <w:pPr>
        <w:rPr>
          <w:b/>
          <w:szCs w:val="20"/>
        </w:rPr>
      </w:pPr>
      <w:r>
        <w:rPr>
          <w:b/>
          <w:szCs w:val="20"/>
        </w:rPr>
        <w:t>Savings and Calculation Methodology</w:t>
      </w:r>
    </w:p>
    <w:p w14:paraId="68E9E730" w14:textId="77777777" w:rsidR="00E673E5" w:rsidRDefault="00E673E5" w:rsidP="00E673E5"/>
    <w:p w14:paraId="7056F945" w14:textId="77777777" w:rsidR="00E673E5" w:rsidRDefault="00E673E5" w:rsidP="00E673E5">
      <w:pPr>
        <w:rPr>
          <w:rFonts w:cstheme="minorHAnsi"/>
          <w:szCs w:val="22"/>
        </w:rPr>
      </w:pPr>
      <w:r>
        <w:rPr>
          <w:rFonts w:cstheme="minorHAnsi"/>
          <w:szCs w:val="22"/>
        </w:rPr>
        <w:t>This short form made no changes to the adopted PGE savings.</w:t>
      </w:r>
    </w:p>
    <w:p w14:paraId="53A5CE4A" w14:textId="77777777" w:rsidR="00E673E5" w:rsidRDefault="00E673E5" w:rsidP="00E673E5">
      <w:pPr>
        <w:rPr>
          <w:rFonts w:cstheme="minorHAnsi"/>
          <w:szCs w:val="22"/>
        </w:rPr>
      </w:pPr>
    </w:p>
    <w:p w14:paraId="1AE7E166" w14:textId="77777777" w:rsidR="00E673E5" w:rsidRPr="000720DD" w:rsidRDefault="00E673E5" w:rsidP="00E673E5">
      <w:pPr>
        <w:rPr>
          <w:b/>
          <w:szCs w:val="20"/>
        </w:rPr>
      </w:pPr>
      <w:r w:rsidRPr="000720DD">
        <w:rPr>
          <w:b/>
          <w:szCs w:val="20"/>
        </w:rPr>
        <w:t>Costs</w:t>
      </w:r>
    </w:p>
    <w:p w14:paraId="4CBECAD7" w14:textId="77777777" w:rsidR="00E673E5" w:rsidRDefault="00E673E5" w:rsidP="00E673E5"/>
    <w:p w14:paraId="4E786A34" w14:textId="77777777" w:rsidR="00E673E5" w:rsidRPr="000720DD" w:rsidRDefault="00E673E5" w:rsidP="00E673E5">
      <w:pPr>
        <w:rPr>
          <w:rFonts w:cstheme="minorHAnsi"/>
          <w:szCs w:val="22"/>
        </w:rPr>
      </w:pPr>
      <w:r>
        <w:rPr>
          <w:rFonts w:cstheme="minorHAnsi"/>
          <w:szCs w:val="22"/>
        </w:rPr>
        <w:t>This short form made no changes to the adopted PGE costs.</w:t>
      </w:r>
    </w:p>
    <w:p w14:paraId="7C8F2D65" w14:textId="77777777" w:rsidR="00E673E5" w:rsidRPr="009A2332" w:rsidRDefault="00E673E5" w:rsidP="00E673E5"/>
    <w:p w14:paraId="1BCD7A19" w14:textId="77777777" w:rsidR="00E673E5" w:rsidRDefault="00E673E5" w:rsidP="00E673E5">
      <w:pPr>
        <w:rPr>
          <w:b/>
          <w:szCs w:val="20"/>
        </w:rPr>
      </w:pPr>
      <w:r>
        <w:rPr>
          <w:b/>
          <w:szCs w:val="20"/>
        </w:rPr>
        <w:t>Attachments:</w:t>
      </w:r>
    </w:p>
    <w:p w14:paraId="70E6D72B" w14:textId="523E48B4" w:rsidR="00E673E5" w:rsidRPr="007B7795" w:rsidRDefault="009D1192" w:rsidP="00E673E5">
      <w:pPr>
        <w:rPr>
          <w:szCs w:val="20"/>
        </w:rPr>
      </w:pPr>
      <w:r>
        <w:t>PGE3PHVC160.</w:t>
      </w:r>
      <w:r w:rsidR="000C17C6">
        <w:t>1</w:t>
      </w:r>
      <w:r w:rsidR="00E673E5" w:rsidRPr="007B7795">
        <w:rPr>
          <w:szCs w:val="20"/>
        </w:rPr>
        <w:t>_A</w:t>
      </w:r>
      <w:r w:rsidR="00900C7C">
        <w:rPr>
          <w:szCs w:val="20"/>
        </w:rPr>
        <w:t>1</w:t>
      </w:r>
      <w:r w:rsidR="00E673E5" w:rsidRPr="007B7795">
        <w:rPr>
          <w:szCs w:val="20"/>
        </w:rPr>
        <w:t xml:space="preserve"> - Calc Template</w:t>
      </w:r>
      <w:r w:rsidR="00E673E5">
        <w:rPr>
          <w:szCs w:val="20"/>
        </w:rPr>
        <w:t>s</w:t>
      </w:r>
      <w:r w:rsidR="000C17C6">
        <w:rPr>
          <w:szCs w:val="20"/>
        </w:rPr>
        <w:t>_2018</w:t>
      </w:r>
    </w:p>
    <w:bookmarkEnd w:id="6"/>
    <w:p w14:paraId="37E9FBDB" w14:textId="5F6C9582" w:rsidR="00E16609" w:rsidRPr="009A2332" w:rsidRDefault="00E16609">
      <w:pPr>
        <w:rPr>
          <w:b/>
          <w:szCs w:val="20"/>
        </w:rPr>
      </w:pPr>
    </w:p>
    <w:sectPr w:rsidR="00E16609" w:rsidRPr="009A2332" w:rsidSect="008F14E9">
      <w:footerReference w:type="default" r:id="rId11"/>
      <w:pgSz w:w="12240" w:h="15840"/>
      <w:pgMar w:top="1440" w:right="1440" w:bottom="1557" w:left="1440" w:header="720" w:footer="720" w:gutter="0"/>
      <w:pgNumType w:fmt="lowerRoman"/>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Vega, Kara" w:date="2018-12-27T13:10:00Z" w:initials="VK">
    <w:p w14:paraId="090CEF32" w14:textId="22095C43" w:rsidR="009E5859" w:rsidRDefault="009E5859">
      <w:pPr>
        <w:pStyle w:val="CommentText"/>
      </w:pPr>
      <w:r>
        <w:rPr>
          <w:rStyle w:val="CommentReference"/>
        </w:rPr>
        <w:annotationRef/>
      </w:r>
      <w:r>
        <w:t>PGE workpaper uses</w:t>
      </w:r>
      <w:r w:rsidR="000C17C6">
        <w:t xml:space="preserve"> GSIA ID Com-RCA-SCE. However, the delivery mechanism identified is </w:t>
      </w:r>
      <w:r>
        <w:t xml:space="preserve">NonUpStrm. Please confirm that this should be maintained in the calc template.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CEF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4CE1A1" w16cid:durableId="1FCF48A0"/>
  <w16cid:commentId w16cid:paraId="090CEF32" w16cid:durableId="1FCF4D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9C3F8" w14:textId="77777777" w:rsidR="00A05CCB" w:rsidRDefault="00A05CCB" w:rsidP="00447D6E">
      <w:r>
        <w:separator/>
      </w:r>
    </w:p>
    <w:p w14:paraId="392FCEF2" w14:textId="77777777" w:rsidR="00A05CCB" w:rsidRDefault="00A05CCB"/>
  </w:endnote>
  <w:endnote w:type="continuationSeparator" w:id="0">
    <w:p w14:paraId="2858B706" w14:textId="77777777" w:rsidR="00A05CCB" w:rsidRDefault="00A05CCB" w:rsidP="00447D6E">
      <w:r>
        <w:continuationSeparator/>
      </w:r>
    </w:p>
    <w:p w14:paraId="6E7219E6" w14:textId="77777777" w:rsidR="00A05CCB" w:rsidRDefault="00A05C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0F3381A5" w:rsidR="00F30167" w:rsidRPr="009500DC" w:rsidRDefault="00A05CCB"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171C8">
          <w:rPr>
            <w:rFonts w:cstheme="minorHAnsi"/>
            <w:b/>
            <w:sz w:val="20"/>
            <w:szCs w:val="20"/>
          </w:rPr>
          <w:t>PGE3PHVC160</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C17C6">
          <w:rPr>
            <w:rFonts w:cstheme="minorHAnsi"/>
            <w:b/>
            <w:sz w:val="20"/>
            <w:szCs w:val="20"/>
          </w:rPr>
          <w:t>Revision 1</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7162F6">
      <w:rPr>
        <w:rFonts w:cstheme="minorHAnsi"/>
        <w:b/>
        <w:noProof/>
        <w:sz w:val="20"/>
        <w:szCs w:val="20"/>
      </w:rPr>
      <w:t>v</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7T00:00:00Z">
          <w:dateFormat w:val="MMMM d, yyyy"/>
          <w:lid w:val="en-US"/>
          <w:storeMappedDataAs w:val="dateTime"/>
          <w:calendar w:val="gregorian"/>
        </w:date>
      </w:sdtPr>
      <w:sdtEndPr/>
      <w:sdtContent>
        <w:r w:rsidR="00900C7C">
          <w:rPr>
            <w:rFonts w:cstheme="minorHAnsi"/>
            <w:b/>
            <w:sz w:val="20"/>
            <w:szCs w:val="20"/>
          </w:rPr>
          <w:t>December 27</w:t>
        </w:r>
        <w:r w:rsidR="004711F3">
          <w:rPr>
            <w:rFonts w:cstheme="minorHAnsi"/>
            <w:b/>
            <w:sz w:val="20"/>
            <w:szCs w:val="20"/>
          </w:rPr>
          <w:t>, 2018</w:t>
        </w:r>
      </w:sdtContent>
    </w:sdt>
  </w:p>
  <w:p w14:paraId="43C07EA5" w14:textId="544E4323" w:rsidR="00F30167" w:rsidRPr="009500DC" w:rsidRDefault="00A05CCB"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C4244" w14:textId="77777777" w:rsidR="00A05CCB" w:rsidRDefault="00A05CCB" w:rsidP="00447D6E">
      <w:r>
        <w:separator/>
      </w:r>
    </w:p>
    <w:p w14:paraId="03E6F782" w14:textId="77777777" w:rsidR="00A05CCB" w:rsidRDefault="00A05CCB"/>
  </w:footnote>
  <w:footnote w:type="continuationSeparator" w:id="0">
    <w:p w14:paraId="1B6AC40A" w14:textId="77777777" w:rsidR="00A05CCB" w:rsidRDefault="00A05CCB" w:rsidP="00447D6E">
      <w:r>
        <w:continuationSeparator/>
      </w:r>
    </w:p>
    <w:p w14:paraId="69EF6708" w14:textId="77777777" w:rsidR="00A05CCB" w:rsidRDefault="00A05CC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244DA3"/>
    <w:multiLevelType w:val="hybridMultilevel"/>
    <w:tmpl w:val="5F663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D042B0"/>
    <w:multiLevelType w:val="hybridMultilevel"/>
    <w:tmpl w:val="A2F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1"/>
  </w:num>
  <w:num w:numId="10">
    <w:abstractNumId w:val="5"/>
  </w:num>
  <w:num w:numId="11">
    <w:abstractNumId w:val="24"/>
  </w:num>
  <w:num w:numId="12">
    <w:abstractNumId w:val="17"/>
  </w:num>
  <w:num w:numId="13">
    <w:abstractNumId w:val="10"/>
  </w:num>
  <w:num w:numId="14">
    <w:abstractNumId w:val="35"/>
  </w:num>
  <w:num w:numId="15">
    <w:abstractNumId w:val="8"/>
  </w:num>
  <w:num w:numId="16">
    <w:abstractNumId w:val="12"/>
  </w:num>
  <w:num w:numId="17">
    <w:abstractNumId w:val="4"/>
  </w:num>
  <w:num w:numId="18">
    <w:abstractNumId w:val="0"/>
  </w:num>
  <w:num w:numId="19">
    <w:abstractNumId w:val="34"/>
  </w:num>
  <w:num w:numId="20">
    <w:abstractNumId w:val="3"/>
  </w:num>
  <w:num w:numId="21">
    <w:abstractNumId w:val="27"/>
  </w:num>
  <w:num w:numId="22">
    <w:abstractNumId w:val="28"/>
  </w:num>
  <w:num w:numId="23">
    <w:abstractNumId w:val="36"/>
  </w:num>
  <w:num w:numId="24">
    <w:abstractNumId w:val="33"/>
  </w:num>
  <w:num w:numId="25">
    <w:abstractNumId w:val="13"/>
  </w:num>
  <w:num w:numId="26">
    <w:abstractNumId w:val="16"/>
  </w:num>
  <w:num w:numId="27">
    <w:abstractNumId w:val="29"/>
  </w:num>
  <w:num w:numId="28">
    <w:abstractNumId w:val="15"/>
  </w:num>
  <w:num w:numId="29">
    <w:abstractNumId w:val="7"/>
  </w:num>
  <w:num w:numId="30">
    <w:abstractNumId w:val="1"/>
  </w:num>
  <w:num w:numId="31">
    <w:abstractNumId w:val="37"/>
  </w:num>
  <w:num w:numId="32">
    <w:abstractNumId w:val="26"/>
  </w:num>
  <w:num w:numId="33">
    <w:abstractNumId w:val="31"/>
  </w:num>
  <w:num w:numId="34">
    <w:abstractNumId w:val="9"/>
  </w:num>
  <w:num w:numId="35">
    <w:abstractNumId w:val="14"/>
  </w:num>
  <w:num w:numId="36">
    <w:abstractNumId w:val="6"/>
  </w:num>
  <w:num w:numId="37">
    <w:abstractNumId w:val="21"/>
  </w:num>
  <w:num w:numId="38">
    <w:abstractNumId w:val="25"/>
  </w:num>
  <w:num w:numId="39">
    <w:abstractNumId w:val="32"/>
  </w:num>
  <w:num w:numId="40">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ga, Kara">
    <w15:presenceInfo w15:providerId="AD" w15:userId="S-1-5-21-1786704334-1080620903-3496478664-33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3904"/>
    <w:rsid w:val="00005902"/>
    <w:rsid w:val="0001002B"/>
    <w:rsid w:val="00010806"/>
    <w:rsid w:val="00013F71"/>
    <w:rsid w:val="000173BF"/>
    <w:rsid w:val="0002343D"/>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524C"/>
    <w:rsid w:val="00086F7F"/>
    <w:rsid w:val="0009074D"/>
    <w:rsid w:val="0009592B"/>
    <w:rsid w:val="000968C6"/>
    <w:rsid w:val="0009698D"/>
    <w:rsid w:val="000A63C9"/>
    <w:rsid w:val="000B3765"/>
    <w:rsid w:val="000B655B"/>
    <w:rsid w:val="000C0000"/>
    <w:rsid w:val="000C17C6"/>
    <w:rsid w:val="000C18CC"/>
    <w:rsid w:val="000C687D"/>
    <w:rsid w:val="000C7ED1"/>
    <w:rsid w:val="000D789A"/>
    <w:rsid w:val="000E4B5F"/>
    <w:rsid w:val="000E706D"/>
    <w:rsid w:val="000F130A"/>
    <w:rsid w:val="000F4FD8"/>
    <w:rsid w:val="00107242"/>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76BCE"/>
    <w:rsid w:val="001811EE"/>
    <w:rsid w:val="00185AD4"/>
    <w:rsid w:val="00187590"/>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1348D"/>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76EF6"/>
    <w:rsid w:val="002811BC"/>
    <w:rsid w:val="00283444"/>
    <w:rsid w:val="00283DE8"/>
    <w:rsid w:val="00285552"/>
    <w:rsid w:val="00285966"/>
    <w:rsid w:val="00285A0D"/>
    <w:rsid w:val="00290ED8"/>
    <w:rsid w:val="00292209"/>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078D1"/>
    <w:rsid w:val="00317970"/>
    <w:rsid w:val="00317EB0"/>
    <w:rsid w:val="00332700"/>
    <w:rsid w:val="003358BD"/>
    <w:rsid w:val="00344E88"/>
    <w:rsid w:val="00345D80"/>
    <w:rsid w:val="003471D4"/>
    <w:rsid w:val="00350BF1"/>
    <w:rsid w:val="00353C49"/>
    <w:rsid w:val="003540B1"/>
    <w:rsid w:val="003544A2"/>
    <w:rsid w:val="003557E9"/>
    <w:rsid w:val="003560BA"/>
    <w:rsid w:val="00364CC6"/>
    <w:rsid w:val="003650F6"/>
    <w:rsid w:val="0036726C"/>
    <w:rsid w:val="003832D2"/>
    <w:rsid w:val="003845E5"/>
    <w:rsid w:val="00393137"/>
    <w:rsid w:val="0039615F"/>
    <w:rsid w:val="0039719F"/>
    <w:rsid w:val="00397406"/>
    <w:rsid w:val="003A3170"/>
    <w:rsid w:val="003A360E"/>
    <w:rsid w:val="003D17FF"/>
    <w:rsid w:val="003D2871"/>
    <w:rsid w:val="003D2981"/>
    <w:rsid w:val="003D5B83"/>
    <w:rsid w:val="003E51A8"/>
    <w:rsid w:val="003E6E47"/>
    <w:rsid w:val="003F0623"/>
    <w:rsid w:val="003F1B49"/>
    <w:rsid w:val="003F33DE"/>
    <w:rsid w:val="003F3A41"/>
    <w:rsid w:val="003F67E9"/>
    <w:rsid w:val="00401031"/>
    <w:rsid w:val="004023B7"/>
    <w:rsid w:val="004045A0"/>
    <w:rsid w:val="00413CDB"/>
    <w:rsid w:val="00416E34"/>
    <w:rsid w:val="004171C8"/>
    <w:rsid w:val="004200FE"/>
    <w:rsid w:val="00421183"/>
    <w:rsid w:val="00421BA6"/>
    <w:rsid w:val="00421C17"/>
    <w:rsid w:val="00426CDE"/>
    <w:rsid w:val="00433EA1"/>
    <w:rsid w:val="00441957"/>
    <w:rsid w:val="00442A68"/>
    <w:rsid w:val="00443D32"/>
    <w:rsid w:val="004469DD"/>
    <w:rsid w:val="004476B2"/>
    <w:rsid w:val="00447CE5"/>
    <w:rsid w:val="00447D6E"/>
    <w:rsid w:val="0045048F"/>
    <w:rsid w:val="0045181B"/>
    <w:rsid w:val="00452133"/>
    <w:rsid w:val="00452C7A"/>
    <w:rsid w:val="00456B53"/>
    <w:rsid w:val="0046286E"/>
    <w:rsid w:val="004673A2"/>
    <w:rsid w:val="004711F3"/>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4BE4"/>
    <w:rsid w:val="00505CEC"/>
    <w:rsid w:val="0051020F"/>
    <w:rsid w:val="00513CAB"/>
    <w:rsid w:val="00516CF5"/>
    <w:rsid w:val="00523597"/>
    <w:rsid w:val="00523736"/>
    <w:rsid w:val="00532530"/>
    <w:rsid w:val="00535CA4"/>
    <w:rsid w:val="005476F6"/>
    <w:rsid w:val="00551D72"/>
    <w:rsid w:val="005540B6"/>
    <w:rsid w:val="005552C3"/>
    <w:rsid w:val="00556964"/>
    <w:rsid w:val="00560934"/>
    <w:rsid w:val="00563E58"/>
    <w:rsid w:val="00564960"/>
    <w:rsid w:val="00570654"/>
    <w:rsid w:val="00570F38"/>
    <w:rsid w:val="005720F2"/>
    <w:rsid w:val="005729C8"/>
    <w:rsid w:val="00572D2F"/>
    <w:rsid w:val="005734A4"/>
    <w:rsid w:val="005801A2"/>
    <w:rsid w:val="00594EF5"/>
    <w:rsid w:val="005A0E53"/>
    <w:rsid w:val="005A1078"/>
    <w:rsid w:val="005A31B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67322"/>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07828"/>
    <w:rsid w:val="007162F6"/>
    <w:rsid w:val="00726338"/>
    <w:rsid w:val="00726AD5"/>
    <w:rsid w:val="00733C7D"/>
    <w:rsid w:val="00740761"/>
    <w:rsid w:val="00745F77"/>
    <w:rsid w:val="007464DE"/>
    <w:rsid w:val="007529EA"/>
    <w:rsid w:val="00755A45"/>
    <w:rsid w:val="00760CDC"/>
    <w:rsid w:val="00764D0D"/>
    <w:rsid w:val="00777C53"/>
    <w:rsid w:val="00786E92"/>
    <w:rsid w:val="00787F38"/>
    <w:rsid w:val="007933F1"/>
    <w:rsid w:val="007A5F52"/>
    <w:rsid w:val="007B090A"/>
    <w:rsid w:val="007C261E"/>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3763"/>
    <w:rsid w:val="00847A4E"/>
    <w:rsid w:val="00871D79"/>
    <w:rsid w:val="0087393E"/>
    <w:rsid w:val="00881A42"/>
    <w:rsid w:val="00882386"/>
    <w:rsid w:val="0088361D"/>
    <w:rsid w:val="00885E0A"/>
    <w:rsid w:val="0088603B"/>
    <w:rsid w:val="008877AF"/>
    <w:rsid w:val="00893FC3"/>
    <w:rsid w:val="0089577B"/>
    <w:rsid w:val="008A26AD"/>
    <w:rsid w:val="008B1024"/>
    <w:rsid w:val="008B1357"/>
    <w:rsid w:val="008B2DF3"/>
    <w:rsid w:val="008C2E0E"/>
    <w:rsid w:val="008C4DE0"/>
    <w:rsid w:val="008D3930"/>
    <w:rsid w:val="008D67F9"/>
    <w:rsid w:val="008E17CC"/>
    <w:rsid w:val="008E25B1"/>
    <w:rsid w:val="008E56FB"/>
    <w:rsid w:val="008F14E9"/>
    <w:rsid w:val="008F2167"/>
    <w:rsid w:val="008F33B4"/>
    <w:rsid w:val="008F6298"/>
    <w:rsid w:val="0090077A"/>
    <w:rsid w:val="00900C7C"/>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332"/>
    <w:rsid w:val="009A2734"/>
    <w:rsid w:val="009A2AA4"/>
    <w:rsid w:val="009B2A02"/>
    <w:rsid w:val="009B2B61"/>
    <w:rsid w:val="009B5B7B"/>
    <w:rsid w:val="009C1777"/>
    <w:rsid w:val="009C2C86"/>
    <w:rsid w:val="009C6FE0"/>
    <w:rsid w:val="009D0753"/>
    <w:rsid w:val="009D10A4"/>
    <w:rsid w:val="009D1192"/>
    <w:rsid w:val="009D5131"/>
    <w:rsid w:val="009D6F71"/>
    <w:rsid w:val="009E1802"/>
    <w:rsid w:val="009E1CDE"/>
    <w:rsid w:val="009E2B06"/>
    <w:rsid w:val="009E3829"/>
    <w:rsid w:val="009E51E2"/>
    <w:rsid w:val="009E5859"/>
    <w:rsid w:val="009F7A61"/>
    <w:rsid w:val="00A05CCB"/>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5A7"/>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614F1"/>
    <w:rsid w:val="00B866B4"/>
    <w:rsid w:val="00B94226"/>
    <w:rsid w:val="00BA0A8C"/>
    <w:rsid w:val="00BA0CEB"/>
    <w:rsid w:val="00BA2383"/>
    <w:rsid w:val="00BA2E7E"/>
    <w:rsid w:val="00BA590A"/>
    <w:rsid w:val="00BA5FE4"/>
    <w:rsid w:val="00BB0B39"/>
    <w:rsid w:val="00BB30D1"/>
    <w:rsid w:val="00BB39D8"/>
    <w:rsid w:val="00BB5F75"/>
    <w:rsid w:val="00BC5DF2"/>
    <w:rsid w:val="00BC6524"/>
    <w:rsid w:val="00BD3931"/>
    <w:rsid w:val="00BD5B88"/>
    <w:rsid w:val="00BD5F58"/>
    <w:rsid w:val="00BE0AEB"/>
    <w:rsid w:val="00BE3911"/>
    <w:rsid w:val="00C018E0"/>
    <w:rsid w:val="00C05AAF"/>
    <w:rsid w:val="00C118C7"/>
    <w:rsid w:val="00C20877"/>
    <w:rsid w:val="00C20E7B"/>
    <w:rsid w:val="00C21456"/>
    <w:rsid w:val="00C2436A"/>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A40C3"/>
    <w:rsid w:val="00CB0100"/>
    <w:rsid w:val="00CB04D2"/>
    <w:rsid w:val="00CD7EFE"/>
    <w:rsid w:val="00CE0C66"/>
    <w:rsid w:val="00CE28CF"/>
    <w:rsid w:val="00CE4386"/>
    <w:rsid w:val="00CE4CDC"/>
    <w:rsid w:val="00CE5BEB"/>
    <w:rsid w:val="00CE69E9"/>
    <w:rsid w:val="00CE71F2"/>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73E5"/>
    <w:rsid w:val="00E67ACA"/>
    <w:rsid w:val="00E76B31"/>
    <w:rsid w:val="00E81F3E"/>
    <w:rsid w:val="00E83F15"/>
    <w:rsid w:val="00E844BB"/>
    <w:rsid w:val="00E84C48"/>
    <w:rsid w:val="00E859BD"/>
    <w:rsid w:val="00E86B70"/>
    <w:rsid w:val="00E87C8F"/>
    <w:rsid w:val="00E924C3"/>
    <w:rsid w:val="00E954EE"/>
    <w:rsid w:val="00E96759"/>
    <w:rsid w:val="00EA4437"/>
    <w:rsid w:val="00EA4D87"/>
    <w:rsid w:val="00EB34FC"/>
    <w:rsid w:val="00EB76E1"/>
    <w:rsid w:val="00EC2499"/>
    <w:rsid w:val="00EE29DF"/>
    <w:rsid w:val="00EE4120"/>
    <w:rsid w:val="00EF2E8A"/>
    <w:rsid w:val="00EF4E6B"/>
    <w:rsid w:val="00EF5416"/>
    <w:rsid w:val="00F02E1C"/>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B648A"/>
    <w:rsid w:val="00FD497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254536">
      <w:bodyDiv w:val="1"/>
      <w:marLeft w:val="0"/>
      <w:marRight w:val="0"/>
      <w:marTop w:val="0"/>
      <w:marBottom w:val="0"/>
      <w:divBdr>
        <w:top w:val="none" w:sz="0" w:space="0" w:color="auto"/>
        <w:left w:val="none" w:sz="0" w:space="0" w:color="auto"/>
        <w:bottom w:val="none" w:sz="0" w:space="0" w:color="auto"/>
        <w:right w:val="none" w:sz="0" w:space="0" w:color="auto"/>
      </w:divBdr>
    </w:div>
    <w:div w:id="72938083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92774813">
      <w:bodyDiv w:val="1"/>
      <w:marLeft w:val="0"/>
      <w:marRight w:val="0"/>
      <w:marTop w:val="0"/>
      <w:marBottom w:val="0"/>
      <w:divBdr>
        <w:top w:val="none" w:sz="0" w:space="0" w:color="auto"/>
        <w:left w:val="none" w:sz="0" w:space="0" w:color="auto"/>
        <w:bottom w:val="none" w:sz="0" w:space="0" w:color="auto"/>
        <w:right w:val="none" w:sz="0" w:space="0" w:color="auto"/>
      </w:divBdr>
    </w:div>
    <w:div w:id="1444376016">
      <w:bodyDiv w:val="1"/>
      <w:marLeft w:val="0"/>
      <w:marRight w:val="0"/>
      <w:marTop w:val="0"/>
      <w:marBottom w:val="0"/>
      <w:divBdr>
        <w:top w:val="none" w:sz="0" w:space="0" w:color="auto"/>
        <w:left w:val="none" w:sz="0" w:space="0" w:color="auto"/>
        <w:bottom w:val="none" w:sz="0" w:space="0" w:color="auto"/>
        <w:right w:val="none" w:sz="0" w:space="0" w:color="auto"/>
      </w:divBdr>
    </w:div>
    <w:div w:id="182080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3F6BDF"/>
    <w:rsid w:val="004817CD"/>
    <w:rsid w:val="00560392"/>
    <w:rsid w:val="006B7FA8"/>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3E87D8-04E6-497B-B544-520D45E89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1028</Words>
  <Characters>5863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PGE3PHVC160</vt:lpstr>
    </vt:vector>
  </TitlesOfParts>
  <Company>Southern California Edison</Company>
  <LinksUpToDate>false</LinksUpToDate>
  <CharactersWithSpaces>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PGE3PHVC160</dc:title>
  <dc:creator>Jim Wyatt (PG&amp;E);Jason Wang (SCE)</dc:creator>
  <cp:lastModifiedBy>Jesse Manao</cp:lastModifiedBy>
  <cp:revision>7</cp:revision>
  <dcterms:created xsi:type="dcterms:W3CDTF">2018-12-27T23:07:00Z</dcterms:created>
  <dcterms:modified xsi:type="dcterms:W3CDTF">2018-12-31T10:34:00Z</dcterms:modified>
  <cp:contentStatus>Revision 1</cp:contentStatus>
</cp:coreProperties>
</file>